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16FC8" w14:textId="7D749487" w:rsidR="00B95A8E" w:rsidRPr="00B95A8E" w:rsidRDefault="00B95A8E" w:rsidP="00B95A8E">
      <w:pPr>
        <w:rPr>
          <w:lang w:val="en-US"/>
        </w:rPr>
      </w:pPr>
      <w:r w:rsidRPr="00B95A8E">
        <w:rPr>
          <w:rFonts w:asciiTheme="majorHAnsi" w:eastAsiaTheme="majorEastAsia" w:hAnsiTheme="majorHAnsi" w:cstheme="majorBidi"/>
          <w:b/>
          <w:bCs/>
          <w:color w:val="0E9A4A" w:themeColor="text2"/>
          <w:spacing w:val="-10"/>
          <w:sz w:val="40"/>
          <w:szCs w:val="40"/>
          <w:lang w:val="en-US"/>
        </w:rPr>
        <w:t>4DS framework for sustainable production</w:t>
      </w:r>
    </w:p>
    <w:p w14:paraId="445ACFFE" w14:textId="74C61F04" w:rsidR="00955C0A" w:rsidRPr="00B95A8E" w:rsidRDefault="00B95A8E" w:rsidP="00171EBD">
      <w:pPr>
        <w:pStyle w:val="Subtitle"/>
        <w:rPr>
          <w:lang w:val="en-US"/>
        </w:rPr>
      </w:pPr>
      <w:r w:rsidRPr="00B95A8E">
        <w:rPr>
          <w:lang w:val="en-US"/>
        </w:rPr>
        <w:t xml:space="preserve">A </w:t>
      </w:r>
      <w:r>
        <w:rPr>
          <w:lang w:val="en-US"/>
        </w:rPr>
        <w:t>case study in Additive Manufacturing</w:t>
      </w:r>
    </w:p>
    <w:p w14:paraId="1BEEF2CA" w14:textId="56AD1D73" w:rsidR="00955C0A" w:rsidRPr="00B95A8E" w:rsidRDefault="00B95A8E" w:rsidP="00171EBD">
      <w:pPr>
        <w:pStyle w:val="Verfasser"/>
        <w:rPr>
          <w:lang w:val="en-US"/>
        </w:rPr>
      </w:pPr>
      <w:r>
        <w:rPr>
          <w:lang w:val="en-US"/>
        </w:rPr>
        <w:t>Ottavia Aleo</w:t>
      </w:r>
      <w:r w:rsidR="00C14CED" w:rsidRPr="00B95A8E">
        <w:rPr>
          <w:lang w:val="en-US"/>
        </w:rPr>
        <w:t xml:space="preserve"> (M.Sc.) </w:t>
      </w:r>
      <w:proofErr w:type="spellStart"/>
      <w:proofErr w:type="gramStart"/>
      <w:r w:rsidR="00C14CED" w:rsidRPr="00B95A8E">
        <w:rPr>
          <w:vertAlign w:val="superscript"/>
          <w:lang w:val="en-US"/>
        </w:rPr>
        <w:t>a</w:t>
      </w:r>
      <w:r>
        <w:rPr>
          <w:vertAlign w:val="superscript"/>
          <w:lang w:val="en-US"/>
        </w:rPr>
        <w:t>,c</w:t>
      </w:r>
      <w:proofErr w:type="spellEnd"/>
      <w:proofErr w:type="gramEnd"/>
      <w:r w:rsidR="0034052C" w:rsidRPr="00B95A8E">
        <w:rPr>
          <w:lang w:val="en-US"/>
        </w:rPr>
        <w:t xml:space="preserve">, </w:t>
      </w:r>
      <w:proofErr w:type="spellStart"/>
      <w:r>
        <w:rPr>
          <w:lang w:val="en-US"/>
        </w:rPr>
        <w:t>Dr.ir.Paola</w:t>
      </w:r>
      <w:proofErr w:type="spellEnd"/>
      <w:r>
        <w:rPr>
          <w:lang w:val="en-US"/>
        </w:rPr>
        <w:t xml:space="preserve"> Ibarra-Gonzalez</w:t>
      </w:r>
      <w:r w:rsidR="00C14CED" w:rsidRPr="00B95A8E">
        <w:rPr>
          <w:lang w:val="en-US"/>
        </w:rPr>
        <w:t xml:space="preserve"> </w:t>
      </w:r>
      <w:r w:rsidR="00C14CED" w:rsidRPr="00B95A8E">
        <w:rPr>
          <w:vertAlign w:val="superscript"/>
          <w:lang w:val="en-US"/>
        </w:rPr>
        <w:t>b</w:t>
      </w:r>
      <w:r>
        <w:rPr>
          <w:lang w:val="en-US"/>
        </w:rPr>
        <w:t xml:space="preserve">, </w:t>
      </w:r>
      <w:proofErr w:type="spellStart"/>
      <w:proofErr w:type="gramStart"/>
      <w:r>
        <w:rPr>
          <w:lang w:val="en-US"/>
        </w:rPr>
        <w:t>Dr.Paul</w:t>
      </w:r>
      <w:proofErr w:type="spellEnd"/>
      <w:proofErr w:type="gramEnd"/>
      <w:r>
        <w:rPr>
          <w:lang w:val="en-US"/>
        </w:rPr>
        <w:t xml:space="preserve"> Victor Osswald</w:t>
      </w:r>
      <w:r w:rsidRPr="00B95A8E">
        <w:rPr>
          <w:lang w:val="en-US"/>
        </w:rPr>
        <w:t xml:space="preserve"> </w:t>
      </w:r>
      <w:r>
        <w:rPr>
          <w:vertAlign w:val="superscript"/>
          <w:lang w:val="en-US"/>
        </w:rPr>
        <w:t>c</w:t>
      </w:r>
      <w:r w:rsidRPr="00B95A8E">
        <w:rPr>
          <w:lang w:val="en-US"/>
        </w:rPr>
        <w:t xml:space="preserve">, </w:t>
      </w:r>
      <w:r>
        <w:rPr>
          <w:lang w:val="en-US"/>
        </w:rPr>
        <w:t>Prof.Dr.-</w:t>
      </w:r>
      <w:proofErr w:type="spellStart"/>
      <w:r>
        <w:rPr>
          <w:lang w:val="en-US"/>
        </w:rPr>
        <w:t>Ing.Johannes</w:t>
      </w:r>
      <w:proofErr w:type="spellEnd"/>
      <w:r>
        <w:rPr>
          <w:lang w:val="en-US"/>
        </w:rPr>
        <w:t xml:space="preserve"> Fottner </w:t>
      </w:r>
      <w:r w:rsidR="00171EBD">
        <w:rPr>
          <w:vertAlign w:val="superscript"/>
          <w:lang w:val="en-US"/>
        </w:rPr>
        <w:t>b</w:t>
      </w:r>
    </w:p>
    <w:p w14:paraId="540FDCFD" w14:textId="56B2CA36" w:rsidR="00383224" w:rsidRPr="00B95A8E" w:rsidRDefault="00C14CED" w:rsidP="00171EBD">
      <w:pPr>
        <w:pStyle w:val="Verfasser"/>
        <w:rPr>
          <w:lang w:val="en-US"/>
        </w:rPr>
      </w:pPr>
      <w:r w:rsidRPr="00B95A8E">
        <w:rPr>
          <w:rStyle w:val="TextZchn"/>
          <w:vertAlign w:val="superscript"/>
          <w:lang w:val="en-US"/>
        </w:rPr>
        <w:t>a</w:t>
      </w:r>
      <w:r w:rsidRPr="00B95A8E">
        <w:rPr>
          <w:rStyle w:val="TextZchn"/>
          <w:lang w:val="en-US"/>
        </w:rPr>
        <w:t xml:space="preserve"> </w:t>
      </w:r>
      <w:r w:rsidR="00B95A8E" w:rsidRPr="00B95A8E">
        <w:rPr>
          <w:rStyle w:val="TextZchn"/>
          <w:lang w:val="en-US"/>
        </w:rPr>
        <w:t>Chair of Material Handling, Material Flow, Logis</w:t>
      </w:r>
      <w:r w:rsidR="00B95A8E">
        <w:rPr>
          <w:rStyle w:val="TextZchn"/>
          <w:lang w:val="en-US"/>
        </w:rPr>
        <w:t>tics, Technical University of Munich</w:t>
      </w:r>
      <w:r w:rsidR="009A263D" w:rsidRPr="00B95A8E">
        <w:rPr>
          <w:lang w:val="en-US"/>
        </w:rPr>
        <w:t xml:space="preserve"> </w:t>
      </w:r>
      <w:proofErr w:type="spellStart"/>
      <w:r w:rsidR="00B95A8E">
        <w:rPr>
          <w:lang w:val="en-US"/>
        </w:rPr>
        <w:t>Boltzmannstraße</w:t>
      </w:r>
      <w:proofErr w:type="spellEnd"/>
      <w:r w:rsidR="00B95A8E">
        <w:rPr>
          <w:lang w:val="en-US"/>
        </w:rPr>
        <w:t xml:space="preserve"> 15</w:t>
      </w:r>
      <w:r w:rsidRPr="00B95A8E">
        <w:rPr>
          <w:lang w:val="en-US"/>
        </w:rPr>
        <w:t>,</w:t>
      </w:r>
      <w:r w:rsidR="00474D89">
        <w:rPr>
          <w:lang w:val="en-US"/>
        </w:rPr>
        <w:t xml:space="preserve"> 85748</w:t>
      </w:r>
      <w:r w:rsidRPr="00B95A8E">
        <w:rPr>
          <w:lang w:val="en-US"/>
        </w:rPr>
        <w:t xml:space="preserve"> </w:t>
      </w:r>
      <w:proofErr w:type="spellStart"/>
      <w:r w:rsidR="00B95A8E">
        <w:rPr>
          <w:lang w:val="en-US"/>
        </w:rPr>
        <w:t>Garching</w:t>
      </w:r>
      <w:proofErr w:type="spellEnd"/>
      <w:r w:rsidR="009A263D" w:rsidRPr="00B95A8E">
        <w:rPr>
          <w:lang w:val="en-US"/>
        </w:rPr>
        <w:t xml:space="preserve">, </w:t>
      </w:r>
      <w:r w:rsidR="00B95A8E">
        <w:rPr>
          <w:lang w:val="en-US"/>
        </w:rPr>
        <w:t>Germany</w:t>
      </w:r>
    </w:p>
    <w:p w14:paraId="4986C083" w14:textId="548C5ABD" w:rsidR="009A263D" w:rsidRDefault="00C14CED" w:rsidP="0023783B">
      <w:pPr>
        <w:pStyle w:val="Verfasser"/>
        <w:rPr>
          <w:lang w:val="en-US"/>
        </w:rPr>
      </w:pPr>
      <w:r w:rsidRPr="00B95A8E">
        <w:rPr>
          <w:rStyle w:val="TextZchn"/>
          <w:vertAlign w:val="superscript"/>
          <w:lang w:val="en-US"/>
        </w:rPr>
        <w:t>b</w:t>
      </w:r>
      <w:r w:rsidRPr="00B95A8E">
        <w:rPr>
          <w:rStyle w:val="TextZchn"/>
          <w:lang w:val="en-US"/>
        </w:rPr>
        <w:t xml:space="preserve"> </w:t>
      </w:r>
      <w:r w:rsidR="00B95A8E" w:rsidRPr="00B95A8E">
        <w:rPr>
          <w:rStyle w:val="TextZchn"/>
          <w:lang w:val="en-US"/>
        </w:rPr>
        <w:t>Faculty of Technology, Policy, and Management</w:t>
      </w:r>
      <w:r w:rsidR="00B95A8E">
        <w:rPr>
          <w:rStyle w:val="TextZchn"/>
          <w:lang w:val="en-US"/>
        </w:rPr>
        <w:t>, Delft University of Technology</w:t>
      </w:r>
      <w:r w:rsidR="009A263D" w:rsidRPr="00B95A8E">
        <w:rPr>
          <w:lang w:val="en-US"/>
        </w:rPr>
        <w:t xml:space="preserve"> </w:t>
      </w:r>
      <w:r w:rsidR="00D14C38">
        <w:rPr>
          <w:lang w:val="en-US"/>
        </w:rPr>
        <w:br/>
      </w:r>
      <w:proofErr w:type="spellStart"/>
      <w:r w:rsidR="00B95A8E" w:rsidRPr="00B95A8E">
        <w:rPr>
          <w:lang w:val="en-US"/>
        </w:rPr>
        <w:t>Jaffalaan</w:t>
      </w:r>
      <w:proofErr w:type="spellEnd"/>
      <w:r w:rsidR="00B95A8E" w:rsidRPr="00B95A8E">
        <w:rPr>
          <w:lang w:val="en-US"/>
        </w:rPr>
        <w:t xml:space="preserve"> 5</w:t>
      </w:r>
      <w:r w:rsidRPr="00B95A8E">
        <w:rPr>
          <w:lang w:val="en-US"/>
        </w:rPr>
        <w:t xml:space="preserve">, </w:t>
      </w:r>
      <w:r w:rsidR="00474D89">
        <w:rPr>
          <w:lang w:val="en-US"/>
        </w:rPr>
        <w:t xml:space="preserve">2628 BX </w:t>
      </w:r>
      <w:r w:rsidR="00B95A8E">
        <w:rPr>
          <w:lang w:val="en-US"/>
        </w:rPr>
        <w:t>Delft</w:t>
      </w:r>
      <w:r w:rsidR="009A263D" w:rsidRPr="00B95A8E">
        <w:rPr>
          <w:lang w:val="en-US"/>
        </w:rPr>
        <w:t xml:space="preserve">, </w:t>
      </w:r>
      <w:r w:rsidR="00B95A8E">
        <w:rPr>
          <w:lang w:val="en-US"/>
        </w:rPr>
        <w:t>The Netherlands</w:t>
      </w:r>
    </w:p>
    <w:p w14:paraId="6DA9D340" w14:textId="7C28295C" w:rsidR="00C14CED" w:rsidRPr="00B95A8E" w:rsidRDefault="00B95A8E" w:rsidP="00B95A8E">
      <w:pPr>
        <w:pStyle w:val="Verfasser"/>
        <w:rPr>
          <w:lang w:val="en-US"/>
        </w:rPr>
      </w:pPr>
      <w:r>
        <w:rPr>
          <w:rStyle w:val="TextZchn"/>
          <w:vertAlign w:val="superscript"/>
          <w:lang w:val="en-US"/>
        </w:rPr>
        <w:t>c</w:t>
      </w:r>
      <w:r w:rsidRPr="00B95A8E">
        <w:rPr>
          <w:rStyle w:val="TextZchn"/>
          <w:lang w:val="en-US"/>
        </w:rPr>
        <w:t xml:space="preserve"> </w:t>
      </w:r>
      <w:r>
        <w:rPr>
          <w:rStyle w:val="TextZchn"/>
          <w:lang w:val="en-US"/>
        </w:rPr>
        <w:t>BMW Group</w:t>
      </w:r>
      <w:r w:rsidRPr="00B95A8E">
        <w:rPr>
          <w:lang w:val="en-US"/>
        </w:rPr>
        <w:t xml:space="preserve"> </w:t>
      </w:r>
      <w:proofErr w:type="spellStart"/>
      <w:r>
        <w:rPr>
          <w:lang w:val="en-US"/>
        </w:rPr>
        <w:t>Petuelring</w:t>
      </w:r>
      <w:proofErr w:type="spellEnd"/>
      <w:r>
        <w:rPr>
          <w:lang w:val="en-US"/>
        </w:rPr>
        <w:t xml:space="preserve"> 130</w:t>
      </w:r>
      <w:r w:rsidRPr="00B95A8E">
        <w:rPr>
          <w:lang w:val="en-US"/>
        </w:rPr>
        <w:t xml:space="preserve">, </w:t>
      </w:r>
      <w:r w:rsidR="00474D89">
        <w:rPr>
          <w:lang w:val="en-US"/>
        </w:rPr>
        <w:t xml:space="preserve">80809 </w:t>
      </w:r>
      <w:r>
        <w:rPr>
          <w:lang w:val="en-US"/>
        </w:rPr>
        <w:t>Munich</w:t>
      </w:r>
      <w:r w:rsidRPr="00B95A8E">
        <w:rPr>
          <w:lang w:val="en-US"/>
        </w:rPr>
        <w:t xml:space="preserve">, </w:t>
      </w:r>
      <w:r>
        <w:rPr>
          <w:lang w:val="en-US"/>
        </w:rPr>
        <w:t>Germany</w:t>
      </w:r>
    </w:p>
    <w:p w14:paraId="258A4809" w14:textId="77777777" w:rsidR="00380A3B" w:rsidRPr="00B95A8E" w:rsidRDefault="00380A3B" w:rsidP="0023783B">
      <w:pPr>
        <w:pStyle w:val="Verfasser"/>
        <w:rPr>
          <w:lang w:val="en-US"/>
        </w:rPr>
      </w:pPr>
    </w:p>
    <w:p w14:paraId="0C1E072D" w14:textId="21FD935B" w:rsidR="00F90645" w:rsidRPr="00F90645" w:rsidRDefault="00C64A97" w:rsidP="00637C41">
      <w:pPr>
        <w:pStyle w:val="AbstractDEEN"/>
      </w:pPr>
      <w:bookmarkStart w:id="0" w:name="_Toc113044103"/>
      <w:r w:rsidRPr="00194BDD">
        <w:rPr>
          <w:rFonts w:asciiTheme="minorHAnsi" w:hAnsiTheme="minorHAnsi"/>
          <w:b/>
          <w:bCs/>
          <w:color w:val="0E9A4A" w:themeColor="accent1"/>
        </w:rPr>
        <w:t>Abstract</w:t>
      </w:r>
      <w:r w:rsidR="009A263D" w:rsidRPr="00194BDD">
        <w:rPr>
          <w:color w:val="0E9A4A" w:themeColor="accent1"/>
        </w:rPr>
        <w:t xml:space="preserve"> </w:t>
      </w:r>
      <w:r w:rsidR="00B95A8E" w:rsidRPr="003A18D0">
        <w:t xml:space="preserve">Improving sustainability in industrial production requires </w:t>
      </w:r>
      <w:r w:rsidR="00B95A8E">
        <w:t>holistic</w:t>
      </w:r>
      <w:r w:rsidR="00B95A8E" w:rsidRPr="003A18D0">
        <w:t xml:space="preserve"> integration of environmental, economic, social, and technical </w:t>
      </w:r>
      <w:r w:rsidR="00B95A8E">
        <w:t>indicators</w:t>
      </w:r>
      <w:r w:rsidR="00B95A8E" w:rsidRPr="003A18D0">
        <w:t xml:space="preserve"> into decision-making processes. </w:t>
      </w:r>
      <w:r w:rsidR="00B95A8E">
        <w:t>Most</w:t>
      </w:r>
      <w:r w:rsidR="00B95A8E" w:rsidRPr="003A18D0">
        <w:t xml:space="preserve"> sustainability frameworks in literature emphasize environmental performance</w:t>
      </w:r>
      <w:r w:rsidR="00B95A8E">
        <w:t>,</w:t>
      </w:r>
      <w:r w:rsidR="00ED08C2">
        <w:t xml:space="preserve"> </w:t>
      </w:r>
      <w:r w:rsidR="00B95A8E" w:rsidRPr="003A18D0">
        <w:t xml:space="preserve">while underrepresenting technical feasibility and economic viability, which are critical for industrial implementation. This study introduces a structured four-dimensional sustainability framework (4DS) integrating technical, environmental, economic, and social dimensions to support informed decision-making in industrial contexts. The framework is applied to the mechanical recycling of </w:t>
      </w:r>
      <w:r w:rsidR="00B95A8E">
        <w:t>Polyamide 12</w:t>
      </w:r>
      <w:r w:rsidR="00B95A8E" w:rsidRPr="003A18D0">
        <w:t xml:space="preserve"> (PA12) waste generated </w:t>
      </w:r>
      <w:r w:rsidR="00B95A8E">
        <w:t>from</w:t>
      </w:r>
      <w:r w:rsidR="00B95A8E" w:rsidRPr="003A18D0">
        <w:t xml:space="preserve"> automotive prototyping and its reuse as filament for </w:t>
      </w:r>
      <w:r w:rsidR="00B95A8E">
        <w:t>Material Extrusion</w:t>
      </w:r>
      <w:r w:rsidR="00B95A8E" w:rsidRPr="003A18D0">
        <w:t xml:space="preserve"> (</w:t>
      </w:r>
      <w:r w:rsidR="00B95A8E">
        <w:t>MEX</w:t>
      </w:r>
      <w:r w:rsidR="00B95A8E" w:rsidRPr="003A18D0">
        <w:t>). Multiple recycling pathways are designed and compared, differing in logistical configuration</w:t>
      </w:r>
      <w:r w:rsidR="00B95A8E">
        <w:t xml:space="preserve"> </w:t>
      </w:r>
      <w:r w:rsidR="00B95A8E" w:rsidRPr="003A18D0">
        <w:t>and material composition.</w:t>
      </w:r>
      <w:r w:rsidR="00B95A8E">
        <w:t xml:space="preserve"> </w:t>
      </w:r>
      <w:r w:rsidR="00B95A8E" w:rsidRPr="00363162">
        <w:t xml:space="preserve">Recycled PA12 filaments produced from different flake/powder ratios are experimentally evaluated through tensile testing. Filaments produced from old PA12 powder without flakes generally exhibit more stable mechanical </w:t>
      </w:r>
      <w:r w:rsidR="00637C41" w:rsidRPr="00363162">
        <w:t>behaviour</w:t>
      </w:r>
      <w:r w:rsidR="00B95A8E" w:rsidRPr="00363162">
        <w:t xml:space="preserve"> and improved printability compared to mixed flake/powder formulations, which show increased </w:t>
      </w:r>
      <w:r w:rsidR="00B95A8E">
        <w:t>mechanical properties variability</w:t>
      </w:r>
      <w:r w:rsidR="00B95A8E" w:rsidRPr="003A18D0">
        <w:t>.</w:t>
      </w:r>
      <w:r w:rsidR="00B95A8E">
        <w:t xml:space="preserve"> </w:t>
      </w:r>
      <w:r w:rsidR="00B95A8E" w:rsidRPr="003A18D0">
        <w:t>The experimental results are integrated into a quantitative sustainability assessment and a multicriteria decision analysis to account for company-specific priorities.</w:t>
      </w:r>
      <w:r w:rsidR="00B95A8E">
        <w:t xml:space="preserve"> </w:t>
      </w:r>
      <w:r w:rsidR="00B95A8E" w:rsidRPr="003A18D0">
        <w:t>The findings demonstrate that the most suitable recycling pathway does not necessarily correspond to the lowest-cost or lowest-impact option when individual sustainability dimensions are considered. The results highlight the importance of balanced, context-specific sustainability assessment that integrates experimental material performance with environmental, economic, and social criteria to identify implementable industrial recycling solutions.</w:t>
      </w:r>
    </w:p>
    <w:p w14:paraId="1094590E" w14:textId="77777777" w:rsidR="00B95A8E" w:rsidRDefault="00383224" w:rsidP="00B95A8E">
      <w:pPr>
        <w:pStyle w:val="Einleitung"/>
      </w:pPr>
      <w:r w:rsidRPr="00F90645">
        <w:br w:type="page"/>
      </w:r>
      <w:bookmarkEnd w:id="0"/>
      <w:r w:rsidR="00B95A8E">
        <w:lastRenderedPageBreak/>
        <w:t>Introduction</w:t>
      </w:r>
    </w:p>
    <w:p w14:paraId="43DA7E4B" w14:textId="4B806C8A" w:rsidR="00B95A8E" w:rsidRDefault="00B95A8E" w:rsidP="00B95A8E">
      <w:pPr>
        <w:pStyle w:val="Einleitung"/>
        <w:rPr>
          <w:rFonts w:ascii="Verdana Pro" w:hAnsi="Verdana Pro"/>
          <w:b w:val="0"/>
          <w:bCs w:val="0"/>
          <w:color w:val="auto"/>
          <w:sz w:val="20"/>
          <w:szCs w:val="20"/>
        </w:rPr>
      </w:pPr>
      <w:r w:rsidRPr="00B95A8E">
        <w:rPr>
          <w:rFonts w:ascii="Verdana Pro" w:hAnsi="Verdana Pro"/>
          <w:b w:val="0"/>
          <w:bCs w:val="0"/>
          <w:color w:val="auto"/>
          <w:sz w:val="20"/>
          <w:szCs w:val="20"/>
        </w:rPr>
        <w:t>Additive Manufacturing (AM) has become an established technology in the automotive industry, particularly for prototyping and tooling, due to its design freedom, and suitability for complex polymer components. Among polymeric materials, Polyamide 12 (PA12) is widely used in automotive prototyping due to its mechanical properties and stable processing behaviour. However, the short service life of prototypes and accelerated development cycles result in a continuous generation of PA12 waste that is rarely reintegrated into new material streams</w:t>
      </w:r>
      <w:r>
        <w:rPr>
          <w:rFonts w:ascii="Verdana Pro" w:hAnsi="Verdana Pro"/>
          <w:b w:val="0"/>
          <w:bCs w:val="0"/>
          <w:color w:val="auto"/>
          <w:sz w:val="20"/>
          <w:szCs w:val="20"/>
        </w:rPr>
        <w:t>.</w:t>
      </w:r>
      <w:r w:rsidR="00EE22B3">
        <w:rPr>
          <w:rFonts w:ascii="Verdana Pro" w:hAnsi="Verdana Pro"/>
          <w:b w:val="0"/>
          <w:bCs w:val="0"/>
          <w:color w:val="auto"/>
          <w:sz w:val="20"/>
          <w:szCs w:val="20"/>
        </w:rPr>
        <w:t xml:space="preserve"> </w:t>
      </w:r>
      <w:r w:rsidRPr="00B95A8E">
        <w:rPr>
          <w:rFonts w:ascii="Verdana Pro" w:hAnsi="Verdana Pro"/>
          <w:b w:val="0"/>
          <w:bCs w:val="0"/>
          <w:color w:val="auto"/>
          <w:sz w:val="20"/>
          <w:szCs w:val="20"/>
        </w:rPr>
        <w:t>This challenge has positioned AM prototyping at the intersection of material efficiency and sustainability assessment. In industrial production, sustainability is commonly described as a multidimensional concept integrating environmental, economic, and social objectives [1], [2]. Numerous frameworks based on this three-pillar model have been proposed, including business sustainability indicators [3], [4], circular economy approaches [5], life-cycle-based waste management assessments [6], textile recycling models [7], the European Commission’s Safe and Sustainable by Design framework [8], and the Triple Bottom Line concept [9]. While these approaches provide a robust basis for evaluating industrial systems, they often place limited emphasis on technical feasibility and process performance, which are essential for the industrial implementation and scaling of AM solutions.</w:t>
      </w:r>
    </w:p>
    <w:p w14:paraId="674FEFA2" w14:textId="1B842EAD" w:rsidR="00B95A8E" w:rsidRDefault="00B95A8E" w:rsidP="00B95A8E">
      <w:pPr>
        <w:pStyle w:val="Einleitung"/>
        <w:rPr>
          <w:rFonts w:ascii="Verdana Pro" w:hAnsi="Verdana Pro"/>
          <w:b w:val="0"/>
          <w:bCs w:val="0"/>
          <w:color w:val="auto"/>
          <w:sz w:val="20"/>
          <w:szCs w:val="20"/>
        </w:rPr>
      </w:pPr>
      <w:r w:rsidRPr="00B95A8E">
        <w:rPr>
          <w:rFonts w:ascii="Verdana Pro" w:hAnsi="Verdana Pro"/>
          <w:b w:val="0"/>
          <w:bCs w:val="0"/>
          <w:color w:val="auto"/>
          <w:sz w:val="20"/>
          <w:szCs w:val="20"/>
        </w:rPr>
        <w:t>In the automotive sector, plastics play a central role in lightweight design strategies driven by increasingly strict emission regulations [10], [11], with further growth expected due to frequent model updates and shorter product lifecycles [12]. Despite this extensive use, plastic waste management remains inefficient, with incineration remaining the dominant disposal route [13]. Plastic recycling is widely adopted to reduce industrial waste, even though it is more impactful than reuse-oriented strategies. Environmental assessments consistently show that recycling plastics requires substantially less energy than virgin material production [14], [15]. Carbon emission reductions from recycling range between 30% and 80%, depending on process type and energy sources [16]. Mechanical recycling is generally considered more economically viable and environmentally efficient than chemical recycling due to lower energy demand and reduced use of additives [17].</w:t>
      </w:r>
    </w:p>
    <w:p w14:paraId="14D270B1" w14:textId="7F352999" w:rsidR="00B95A8E" w:rsidRDefault="00B95A8E" w:rsidP="00B95A8E">
      <w:pPr>
        <w:pStyle w:val="Einleitung"/>
        <w:rPr>
          <w:rFonts w:ascii="Verdana Pro" w:hAnsi="Verdana Pro"/>
          <w:b w:val="0"/>
          <w:bCs w:val="0"/>
          <w:color w:val="auto"/>
          <w:sz w:val="20"/>
          <w:szCs w:val="20"/>
        </w:rPr>
      </w:pPr>
      <w:r w:rsidRPr="00B95A8E">
        <w:rPr>
          <w:rFonts w:ascii="Verdana Pro" w:hAnsi="Verdana Pro"/>
          <w:b w:val="0"/>
          <w:bCs w:val="0"/>
          <w:color w:val="auto"/>
          <w:sz w:val="20"/>
          <w:szCs w:val="20"/>
        </w:rPr>
        <w:t>Within the AM research landscape, recycling studies have predominantly focused on material-level characterization rather than on integrated process or system-level assessments. Prior work has investigated recycled filaments derived from PET [18], Nylon 6 [19], and aluminium/plastic packaging waste [20], primarily evaluating mechanical and rheological properties. The most recycled polymers for AM include PLA, ABS, PET, HDPE, PP, and PS [21], while research on polyamides remains limited and does not address automotive waste streams. Existing studies on PA12 largely focus on powder reuse in Laser-based Powder Bed Fusion of Polymers (PBF-LB/P) processes, examining powder aging and closed-loop reuse strategies [22</w:t>
      </w:r>
      <w:r w:rsidR="00ED08C2">
        <w:rPr>
          <w:rFonts w:ascii="Verdana Pro" w:hAnsi="Verdana Pro"/>
          <w:b w:val="0"/>
          <w:bCs w:val="0"/>
          <w:color w:val="auto"/>
          <w:sz w:val="20"/>
          <w:szCs w:val="20"/>
        </w:rPr>
        <w:t>-</w:t>
      </w:r>
      <w:r w:rsidRPr="00B95A8E">
        <w:rPr>
          <w:rFonts w:ascii="Verdana Pro" w:hAnsi="Verdana Pro"/>
          <w:b w:val="0"/>
          <w:bCs w:val="0"/>
          <w:color w:val="auto"/>
          <w:sz w:val="20"/>
          <w:szCs w:val="20"/>
        </w:rPr>
        <w:t>27]. More recent contributions explored converting residual PBF-LB/P powder into pellets or filaments suitable for Material Extrusion (MEX) [28</w:t>
      </w:r>
      <w:r w:rsidR="00ED08C2">
        <w:rPr>
          <w:rFonts w:ascii="Verdana Pro" w:hAnsi="Verdana Pro"/>
          <w:b w:val="0"/>
          <w:bCs w:val="0"/>
          <w:color w:val="auto"/>
          <w:sz w:val="20"/>
          <w:szCs w:val="20"/>
        </w:rPr>
        <w:t>-</w:t>
      </w:r>
      <w:r w:rsidRPr="00B95A8E">
        <w:rPr>
          <w:rFonts w:ascii="Verdana Pro" w:hAnsi="Verdana Pro"/>
          <w:b w:val="0"/>
          <w:bCs w:val="0"/>
          <w:color w:val="auto"/>
          <w:sz w:val="20"/>
          <w:szCs w:val="20"/>
        </w:rPr>
        <w:t>30]. However, the recycling of end-of-life PA12 parts from automotive AM prototyping has not been systematically investigated. Although PA12 filaments have been shown to withstand multiple remelting and shredding cycles without significant mechanical degradation [31], the effects of shredding and reprocessing printed components remain insufficiently understood.</w:t>
      </w:r>
    </w:p>
    <w:p w14:paraId="34BAD25A" w14:textId="1AB9079E" w:rsidR="00B95A8E" w:rsidRDefault="00B95A8E" w:rsidP="00B95A8E">
      <w:pPr>
        <w:pStyle w:val="Einleitung"/>
        <w:rPr>
          <w:rFonts w:ascii="Verdana Pro" w:hAnsi="Verdana Pro"/>
          <w:b w:val="0"/>
          <w:bCs w:val="0"/>
          <w:color w:val="auto"/>
          <w:sz w:val="20"/>
          <w:szCs w:val="20"/>
        </w:rPr>
      </w:pPr>
      <w:r w:rsidRPr="00B95A8E">
        <w:rPr>
          <w:rFonts w:ascii="Verdana Pro" w:hAnsi="Verdana Pro"/>
          <w:b w:val="0"/>
          <w:bCs w:val="0"/>
          <w:color w:val="auto"/>
          <w:sz w:val="20"/>
          <w:szCs w:val="20"/>
        </w:rPr>
        <w:lastRenderedPageBreak/>
        <w:t>The present study is motivated by an industrial problem identified at an automotive prototyping facility, where a continuous and increasing amount of PA12 powder waste is generated as byproduct from PBF-LB/P processes, leading to high disposal costs, loss of valuable material, and environmental impacts associated with transportation and end-of-life treatment. Economically, waste disposal costs are significant and regulatory pressure on waste management is increasing. From an environmental perspective, PA12 waste contributed to non-negligible CO₂ emissions.</w:t>
      </w:r>
      <w:r w:rsidR="00EE22B3">
        <w:rPr>
          <w:rFonts w:ascii="Verdana Pro" w:hAnsi="Verdana Pro"/>
          <w:b w:val="0"/>
          <w:bCs w:val="0"/>
          <w:color w:val="auto"/>
          <w:sz w:val="20"/>
          <w:szCs w:val="20"/>
        </w:rPr>
        <w:t xml:space="preserve"> </w:t>
      </w:r>
      <w:r w:rsidRPr="00B95A8E">
        <w:rPr>
          <w:rFonts w:ascii="Verdana Pro" w:hAnsi="Verdana Pro"/>
          <w:b w:val="0"/>
          <w:bCs w:val="0"/>
          <w:color w:val="auto"/>
          <w:sz w:val="20"/>
          <w:szCs w:val="20"/>
        </w:rPr>
        <w:t>Against this background, this work develops an AM oriented assessment sustainability framework that integrates technical performance with environmental, economic, and social considerations. The framework is applied to an industrial case study on the mechanical recycling of PA12 waste from automotive AM prototyping into filament for MEX, targeting tooling applications such as jigs and fixtures. For the technical assessment, this study includes an experimental evaluation of recycled PA12 filaments produced from different compositions for old powder and old prototypes, focusing on printability and mechanical performance. Tensile testing of MEX-printed specimens is conducted to assess material stability and variability resulting from the recycling process. For the economic, social, and environmental assessment, a set of dimension-specific indicators is defined to capture different impacts associated with the alternative recycling pathways. A multi-criteria decision-analysis approach based on the Best-Worst Method (BWM) [32] is employed to evaluate alternative recycling pathways in alignment with industrial priorities. By linking experimental material performance with AM process requirements, sustainability indicators, and operational constraints, the study contributes to the development of industrially viable recycling strategies for AM.</w:t>
      </w:r>
    </w:p>
    <w:p w14:paraId="7CD1B6FA" w14:textId="1E68E293" w:rsidR="00B95A8E" w:rsidRPr="00B95A8E" w:rsidRDefault="00B95A8E" w:rsidP="00B95A8E">
      <w:pPr>
        <w:pStyle w:val="Einleitung"/>
      </w:pPr>
      <w:r>
        <w:t>Materials and Methods</w:t>
      </w:r>
    </w:p>
    <w:p w14:paraId="2123F6D4" w14:textId="6CBEA7F3" w:rsidR="00275ACE" w:rsidRPr="00B95A8E" w:rsidRDefault="00B95A8E" w:rsidP="00B95A8E">
      <w:pPr>
        <w:pStyle w:val="Heading10"/>
        <w:rPr>
          <w:lang w:val="en-GB"/>
        </w:rPr>
      </w:pPr>
      <w:r>
        <w:rPr>
          <w:lang w:val="en-GB"/>
        </w:rPr>
        <w:t>Framework for Sustainable Production</w:t>
      </w:r>
      <w:r w:rsidR="00710164" w:rsidRPr="00B95A8E">
        <w:rPr>
          <w:lang w:val="en-GB"/>
        </w:rPr>
        <w:t xml:space="preserve"> </w:t>
      </w:r>
    </w:p>
    <w:p w14:paraId="270165B8" w14:textId="77404F94" w:rsidR="00637C41" w:rsidRDefault="00637C41" w:rsidP="00637C41">
      <w:pPr>
        <w:pStyle w:val="Text"/>
        <w:rPr>
          <w:lang w:val="en-US"/>
        </w:rPr>
      </w:pPr>
      <w:r w:rsidRPr="00637C41">
        <w:rPr>
          <w:lang w:val="en-US"/>
        </w:rPr>
        <w:t>For the scope of the work, a structured assessment framework was developed, based on four dimensions of sustainability (4DS): technical, environmental, economic, and social (Figure 1), to support the decision-making process.</w:t>
      </w:r>
    </w:p>
    <w:p w14:paraId="11F0E678" w14:textId="77777777" w:rsidR="00EE22B3" w:rsidRPr="00637C41" w:rsidRDefault="00EE22B3" w:rsidP="00EE22B3">
      <w:pPr>
        <w:pStyle w:val="Text"/>
        <w:jc w:val="center"/>
        <w:rPr>
          <w:lang w:val="en-US"/>
        </w:rPr>
      </w:pPr>
      <w:r w:rsidRPr="00637C41">
        <w:rPr>
          <w:noProof/>
          <w:lang w:val="en-US"/>
        </w:rPr>
        <w:drawing>
          <wp:inline distT="0" distB="0" distL="0" distR="0" wp14:anchorId="0D300C91" wp14:editId="5A8C58A7">
            <wp:extent cx="2403231" cy="2691582"/>
            <wp:effectExtent l="0" t="0" r="0" b="1270"/>
            <wp:docPr id="1448530568" name="Picture 1" descr="A diagram of different types of proces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530568" name="Picture 1" descr="A diagram of different types of processe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2578" cy="2791649"/>
                    </a:xfrm>
                    <a:prstGeom prst="rect">
                      <a:avLst/>
                    </a:prstGeom>
                    <a:noFill/>
                  </pic:spPr>
                </pic:pic>
              </a:graphicData>
            </a:graphic>
          </wp:inline>
        </w:drawing>
      </w:r>
    </w:p>
    <w:p w14:paraId="61C63D71" w14:textId="77777777" w:rsidR="00EE22B3" w:rsidRPr="00637C41" w:rsidRDefault="00EE22B3" w:rsidP="00EE22B3">
      <w:pPr>
        <w:pStyle w:val="Caption"/>
        <w:rPr>
          <w:lang w:val="en-US"/>
        </w:rPr>
      </w:pPr>
      <w:r w:rsidRPr="00637C41">
        <w:rPr>
          <w:lang w:val="en-US"/>
        </w:rPr>
        <w:t xml:space="preserve">Figure </w:t>
      </w:r>
      <w:r>
        <w:fldChar w:fldCharType="begin"/>
      </w:r>
      <w:r w:rsidRPr="00637C41">
        <w:rPr>
          <w:lang w:val="en-US"/>
        </w:rPr>
        <w:instrText xml:space="preserve"> SEQ Abbildung \* ARABIC </w:instrText>
      </w:r>
      <w:r>
        <w:fldChar w:fldCharType="separate"/>
      </w:r>
      <w:r w:rsidRPr="00637C41">
        <w:rPr>
          <w:lang w:val="en-US"/>
        </w:rPr>
        <w:t>1</w:t>
      </w:r>
      <w:r>
        <w:fldChar w:fldCharType="end"/>
      </w:r>
      <w:r w:rsidRPr="00637C41">
        <w:rPr>
          <w:lang w:val="en-US"/>
        </w:rPr>
        <w:t xml:space="preserve">: Four dimensions of sustainability (4DS). Picture by the author. Icons by </w:t>
      </w:r>
      <w:proofErr w:type="spellStart"/>
      <w:r w:rsidRPr="00637C41">
        <w:rPr>
          <w:lang w:val="en-US"/>
        </w:rPr>
        <w:t>Athok</w:t>
      </w:r>
      <w:proofErr w:type="spellEnd"/>
      <w:r w:rsidRPr="00637C41">
        <w:rPr>
          <w:lang w:val="en-US"/>
        </w:rPr>
        <w:t xml:space="preserve"> from Noun Project [33].</w:t>
      </w:r>
    </w:p>
    <w:p w14:paraId="07DE42CD" w14:textId="7B364668" w:rsidR="00637C41" w:rsidRPr="00637C41" w:rsidRDefault="00637C41" w:rsidP="00637C41">
      <w:pPr>
        <w:pStyle w:val="Text"/>
        <w:rPr>
          <w:lang w:val="en-US"/>
        </w:rPr>
      </w:pPr>
      <w:r w:rsidRPr="00637C41">
        <w:rPr>
          <w:lang w:val="en-US"/>
        </w:rPr>
        <w:lastRenderedPageBreak/>
        <w:t xml:space="preserve">The technical dimension addresses factors related to the properties of the materials under consideration. The environmental dimension encompasses impacts associated with resource use, and emissions, adopting a life cycle perspective </w:t>
      </w:r>
      <w:r w:rsidRPr="00637C41">
        <w:rPr>
          <w:lang w:val="en-US"/>
        </w:rPr>
        <w:fldChar w:fldCharType="begin"/>
      </w:r>
      <w:r w:rsidRPr="00637C41">
        <w:rPr>
          <w:lang w:val="en-US"/>
        </w:rPr>
        <w:instrText xml:space="preserve"> ADDIN ZOTERO_ITEM CSL_CITATION {"citationID":"WstwjvV9","properties":{"formattedCitation":"[34]","plainCitation":"[34]","noteIndex":0},"citationItems":[{"id":1949,"uris":["http://zotero.org/users/16450004/items/Z6YDHKZ9"],"itemData":{"id":1949,"type":"chapter","container-title":"Sustainable Mass Transit","ISBN":"978-0-12-811299-1","note":"DOI: https://doi.org/10.1016/B978-0-12-811299-1.00004-6","page":"45-59","publisher":"Elsevier","title":"Chapter 4 - Environmental Impacts","URL":"https://www.sciencedirect.com/science/article/pii/B9780128112991000046","editor":[{"family":"Abdallah","given":"Thomas"}],"author":[{"family":"Abdallah","given":"Thomas"}],"issued":{"date-parts":[["2017"]]}}}],"schema":"https://github.com/citation-style-language/schema/raw/master/csl-citation.json"} </w:instrText>
      </w:r>
      <w:r w:rsidRPr="00637C41">
        <w:rPr>
          <w:lang w:val="en-US"/>
        </w:rPr>
        <w:fldChar w:fldCharType="separate"/>
      </w:r>
      <w:r w:rsidRPr="00637C41">
        <w:rPr>
          <w:lang w:val="en-US"/>
        </w:rPr>
        <w:t>[34]</w:t>
      </w:r>
      <w:r w:rsidRPr="00637C41">
        <w:fldChar w:fldCharType="end"/>
      </w:r>
      <w:r w:rsidRPr="00637C41">
        <w:rPr>
          <w:lang w:val="en-US"/>
        </w:rPr>
        <w:t xml:space="preserve">. The economic dimension considers aspects related to costs, investments, and economic feasibility </w:t>
      </w:r>
      <w:r w:rsidRPr="00637C41">
        <w:rPr>
          <w:lang w:val="en-US"/>
        </w:rPr>
        <w:fldChar w:fldCharType="begin"/>
      </w:r>
      <w:r w:rsidRPr="00637C41">
        <w:rPr>
          <w:lang w:val="en-US"/>
        </w:rPr>
        <w:instrText xml:space="preserve"> ADDIN ZOTERO_ITEM CSL_CITATION {"citationID":"bDyHlFV7","properties":{"formattedCitation":"[35], [36]","plainCitation":"[35], [36]","noteIndex":0},"citationItems":[{"id":1959,"uris":["http://zotero.org/users/16450004/items/M7YX5BLX"],"itemData":{"id":1959,"type":"article-journal","container-title":"Harvard Business Review","title":"The Challenge of Going Green","URL":"https://hbr.org/1994/07/the-challenge-of-going-green","author":[{"family":"Clarke","given":"Richard A."},{"family":"Stavins","given":"Robert N."},{"family":"Greeno","given":"J.Ladd"},{"family":"Bavaria","given":"Joan L."},{"family":"Cairncross","given":"Frances"},{"family":"Esty","given":"Daniel C."},{"family":"Smart","given":"Bruce"},{"family":"Piet","given":"Johan"},{"family":"Wells","given":"Richard P."},{"family":"Gray","given":"Rob"},{"family":"Fischer","given":"Kurt"},{"family":"Schot","given":"Johan"}],"issued":{"date-parts":[["1994"]]}}},{"id":1960,"uris":["http://zotero.org/users/16450004/items/BL7X6Q8K"],"itemData":{"id":1960,"type":"article-journal","container-title":"Department of English - University of Maryland","title":"Cost-Benefit Analysis of Recycling in the United States: Is Recycling Worth It?","URL":"https://english.umd.edu/research-innovation/journals/interpolations/interpolations-spring-2011/cost-benefit-analysis#: :text=In%20addition%2C%20recycling%20costs%20are,recycle%20than%20to%20produce%20initially.","author":[{"family":"Ettehadieh","given":"Daniel"}],"issued":{"date-parts":[["2011"]]}}}],"schema":"https://github.com/citation-style-language/schema/raw/master/csl-citation.json"} </w:instrText>
      </w:r>
      <w:r w:rsidRPr="00637C41">
        <w:rPr>
          <w:lang w:val="en-US"/>
        </w:rPr>
        <w:fldChar w:fldCharType="separate"/>
      </w:r>
      <w:r w:rsidRPr="00637C41">
        <w:rPr>
          <w:lang w:val="en-US"/>
        </w:rPr>
        <w:t>[35], [36]</w:t>
      </w:r>
      <w:r w:rsidRPr="00637C41">
        <w:fldChar w:fldCharType="end"/>
      </w:r>
      <w:r w:rsidRPr="00637C41">
        <w:rPr>
          <w:lang w:val="en-US"/>
        </w:rPr>
        <w:t>. The social dimension includes organizational and human-related factors, such as working conditions, and stakeholder acceptance.</w:t>
      </w:r>
      <w:r w:rsidR="00EE22B3">
        <w:rPr>
          <w:lang w:val="en-US"/>
        </w:rPr>
        <w:t xml:space="preserve"> </w:t>
      </w:r>
      <w:r w:rsidR="00EE22B3" w:rsidRPr="00637C41">
        <w:rPr>
          <w:lang w:val="en-US"/>
        </w:rPr>
        <w:t>The framework follows ten sequential steps designed to include the 4DS and ensure transparency, adaptability, and reproducibility (Figure 2). These include problem definition, analysis of the Business as Usual (</w:t>
      </w:r>
      <w:proofErr w:type="spellStart"/>
      <w:r w:rsidR="00EE22B3" w:rsidRPr="00637C41">
        <w:rPr>
          <w:lang w:val="en-US"/>
        </w:rPr>
        <w:t>BaU</w:t>
      </w:r>
      <w:proofErr w:type="spellEnd"/>
      <w:r w:rsidR="00EE22B3" w:rsidRPr="00637C41">
        <w:rPr>
          <w:lang w:val="en-US"/>
        </w:rPr>
        <w:t>), definition of objectives and indicators, system boundary definition, pathway design, indicator screening, qualitative and quantitative assessment, multi-criteria decision analysis with the adoption of the B</w:t>
      </w:r>
      <w:r w:rsidR="00973A60">
        <w:rPr>
          <w:lang w:val="en-US"/>
        </w:rPr>
        <w:t>WM</w:t>
      </w:r>
      <w:r w:rsidR="00EE22B3" w:rsidRPr="00637C41">
        <w:rPr>
          <w:lang w:val="en-US"/>
        </w:rPr>
        <w:t>, and final pathway selection.</w:t>
      </w:r>
      <w:r w:rsidR="00EE22B3">
        <w:rPr>
          <w:lang w:val="en-US"/>
        </w:rPr>
        <w:t xml:space="preserve"> </w:t>
      </w:r>
      <w:r w:rsidR="00EE22B3" w:rsidRPr="00637C41">
        <w:rPr>
          <w:lang w:val="en-US"/>
        </w:rPr>
        <w:t>The framework is built on the Lowell Indicator Framework developed by the Lowell Center for Sustainable Production</w:t>
      </w:r>
      <w:r w:rsidR="00ED08C2">
        <w:rPr>
          <w:lang w:val="en-US"/>
        </w:rPr>
        <w:t xml:space="preserve"> </w:t>
      </w:r>
      <w:r w:rsidR="00EE22B3" w:rsidRPr="00637C41">
        <w:rPr>
          <w:lang w:val="en-US"/>
        </w:rPr>
        <w:fldChar w:fldCharType="begin"/>
      </w:r>
      <w:r w:rsidR="00EE22B3" w:rsidRPr="00637C41">
        <w:rPr>
          <w:lang w:val="en-US"/>
        </w:rPr>
        <w:instrText xml:space="preserve"> ADDIN ZOTERO_ITEM CSL_CITATION {"citationID":"nKHNwttf","properties":{"formattedCitation":"[3], [4]","plainCitation":"[3], [4]","noteIndex":0},"citationItems":[{"id":1945,"uris":["http://zotero.org/users/16450004/items/USDZBMYG"],"itemData":{"id":1945,"type":"article-journal","container-title":"Journal of Cleaner Production","DOI":"https://doi.org/10.1016/S0959-6526(01)00004-X","ISSN":"0959-6526","issue":"5","page":"447-452","title":"Indicators of sustainable production","volume":"9","author":[{"family":"Veleva","given":"V."},{"family":"Hart","given":"M."},{"family":"Greiner","given":"T."},{"family":"Crumbley","given":"C."}],"issued":{"date-parts":[["2001"]]}}},{"id":1944,"uris":["http://zotero.org/users/16450004/items/QHFAAMJV"],"itemData":{"id":1944,"type":"article-journal","container-title":"Journal of Cleaner Production","DOI":"https://doi.org/10.1016/S0959-6526(01)00010-5","ISSN":"0959-6526","issue":"6","page":"519-549","title":"Indicators of sustainable production: framework and methodology","volume":"9","author":[{"family":"Veleva","given":"Vesela"},{"family":"Ellenbecker","given":"Michael"}],"issued":{"date-parts":[["2001"]]}}}],"schema":"https://github.com/citation-style-language/schema/raw/master/csl-citation.json"} </w:instrText>
      </w:r>
      <w:r w:rsidR="00EE22B3" w:rsidRPr="00637C41">
        <w:rPr>
          <w:lang w:val="en-US"/>
        </w:rPr>
        <w:fldChar w:fldCharType="separate"/>
      </w:r>
      <w:r w:rsidR="00EE22B3" w:rsidRPr="00637C41">
        <w:rPr>
          <w:lang w:val="en-US"/>
        </w:rPr>
        <w:t>[3],</w:t>
      </w:r>
      <w:r w:rsidR="00ED08C2">
        <w:rPr>
          <w:lang w:val="en-US"/>
        </w:rPr>
        <w:t xml:space="preserve"> </w:t>
      </w:r>
      <w:r w:rsidR="00EE22B3" w:rsidRPr="00637C41">
        <w:rPr>
          <w:lang w:val="en-US"/>
        </w:rPr>
        <w:t>[4]</w:t>
      </w:r>
      <w:r w:rsidR="00EE22B3" w:rsidRPr="00637C41">
        <w:fldChar w:fldCharType="end"/>
      </w:r>
      <w:r w:rsidR="00EE22B3" w:rsidRPr="00637C41">
        <w:rPr>
          <w:lang w:val="en-US"/>
        </w:rPr>
        <w:t xml:space="preserve">. Objectives and indicators were selected following established approaches for industrial sustainability assessment </w:t>
      </w:r>
      <w:r w:rsidR="00EE22B3" w:rsidRPr="00637C41">
        <w:rPr>
          <w:lang w:val="en-US"/>
        </w:rPr>
        <w:fldChar w:fldCharType="begin"/>
      </w:r>
      <w:r w:rsidR="00EE22B3" w:rsidRPr="00637C41">
        <w:rPr>
          <w:lang w:val="en-US"/>
        </w:rPr>
        <w:instrText xml:space="preserve"> ADDIN ZOTERO_ITEM CSL_CITATION {"citationID":"J795ZFu0","properties":{"formattedCitation":"[37], [38], [39], [40], [41]","plainCitation":"[37], [38], [39], [40], [41]","noteIndex":0},"citationItems":[{"id":1962,"uris":["http://zotero.org/users/16450004/items/BDZLF6NQ"],"itemData":{"id":1962,"type":"article-journal","container-title":"CJournal of Management Review","title":"There’s a SMART Way to Write Management’s Goals and Objectives.","URL":"https://community.mis.temple.edu/mis0855002fall2015/files/2015/10/S.M.A.R.T-Way-Management-Review.pdf","author":[{"family":"Doran","given":"G.T."}],"issued":{"date-parts":[["1981"]]}}},{"id":1974,"uris":["http://zotero.org/users/16450004/items/FKXYQZDZ"],"itemData":{"id":1974,"type":"paper-conference","DOI":"10.1109/ISSST.2010.5507764","page":"1 - 5","title":"An investigation of indicators for measuring sustainable manufacturing","author":[{"family":"Fan","given":"Chengcheng"},{"family":"Carrell","given":"John"},{"family":"Zhang","given":"Hong-Chao"}],"issued":{"date-parts":[["2010",6]]}}},{"id":1969,"uris":["http://zotero.org/users/16450004/items/6PGAAXPI"],"itemData":{"id":1969,"type":"article-journal","container-title":"Clean Technologies and Environmental Policy","DOI":"10.1007/s10098-003-0221-z","page":"279-288","title":"Indicators of Sustainable Production","volume":"5","author":[{"family":"Krajnc","given":"Damjan"},{"family":"Glavič","given":"Peter"}],"issued":{"date-parts":[["2003",10]]}}},{"id":1970,"uris":["http://zotero.org/users/16450004/items/W6N9CEZU"],"itemData":{"id":1970,"type":"article-journal","container-title":"European Environment Agency","title":"Environmental indicators: Typology and overview","author":[{"family":"Smeets","given":"Edith"},{"family":"Weterings","given":"Rob"}],"issued":{"date-parts":[["1999"]]}}},{"id":1971,"uris":["http://zotero.org/users/16450004/items/G7Y9E8S3"],"itemData":{"id":1971,"type":"article-journal","title":"Economic Indicator: Definition and How to Interpret","author":[{"family":"Barone","given":"Adam"}],"issued":{"date-parts":[["2021",6]]}}}],"schema":"https://github.com/citation-style-language/schema/raw/master/csl-citation.json"} </w:instrText>
      </w:r>
      <w:r w:rsidR="00EE22B3" w:rsidRPr="00637C41">
        <w:rPr>
          <w:lang w:val="en-US"/>
        </w:rPr>
        <w:fldChar w:fldCharType="separate"/>
      </w:r>
      <w:r w:rsidR="00EE22B3" w:rsidRPr="00637C41">
        <w:rPr>
          <w:lang w:val="en-US"/>
        </w:rPr>
        <w:t>[37</w:t>
      </w:r>
      <w:r w:rsidR="00ED08C2">
        <w:rPr>
          <w:lang w:val="en-US"/>
        </w:rPr>
        <w:t>-</w:t>
      </w:r>
      <w:r w:rsidR="00EE22B3" w:rsidRPr="00637C41">
        <w:rPr>
          <w:lang w:val="en-US"/>
        </w:rPr>
        <w:t>41]</w:t>
      </w:r>
      <w:r w:rsidR="00EE22B3" w:rsidRPr="00637C41">
        <w:fldChar w:fldCharType="end"/>
      </w:r>
      <w:r w:rsidR="00EE22B3" w:rsidRPr="00637C41">
        <w:rPr>
          <w:lang w:val="en-US"/>
        </w:rPr>
        <w:t xml:space="preserve">. </w:t>
      </w:r>
    </w:p>
    <w:p w14:paraId="7ECBD447" w14:textId="34B7B366" w:rsidR="00637C41" w:rsidRPr="00637C41" w:rsidRDefault="00637C41" w:rsidP="00637C41">
      <w:pPr>
        <w:pStyle w:val="Text"/>
        <w:rPr>
          <w:lang w:val="en-US"/>
        </w:rPr>
      </w:pPr>
      <w:r w:rsidRPr="00637C41">
        <w:rPr>
          <w:lang w:val="en-US"/>
        </w:rPr>
        <w:t xml:space="preserve">System boundaries were defined by direct constraints (e.g., regulatory, geographical, operational) and indirect factors (e.g., stakeholder relations, strategic positioning) </w:t>
      </w:r>
      <w:r w:rsidRPr="00637C41">
        <w:rPr>
          <w:lang w:val="en-US"/>
        </w:rPr>
        <w:fldChar w:fldCharType="begin"/>
      </w:r>
      <w:r w:rsidRPr="00637C41">
        <w:rPr>
          <w:lang w:val="en-US"/>
        </w:rPr>
        <w:instrText xml:space="preserve"> ADDIN ZOTERO_ITEM CSL_CITATION {"citationID":"TVop1V03","properties":{"formattedCitation":"[42]","plainCitation":"[42]","noteIndex":0},"citationItems":[{"id":1963,"uris":["http://zotero.org/users/16450004/items/VZXDD3V3"],"itemData":{"id":1963,"type":"article-journal","container-title":"Journal of Religion &amp; Spirituality in Social Work: Social Thought","DOI":"10.1080/15426432.2012.647895","issue":"1-2","note":"publisher: Routledge\n_eprint: https://doi.org/10.1080/15426432.2012.647895","page":"128-149","title":"The Spirituality of Justice: Bringing Together the Eco and the Social","volume":"31","author":[{"family":"Dylan","given":"Arielle"},{"family":"Coates","given":"John"}],"issued":{"date-parts":[["2012"]]}}}],"schema":"https://github.com/citation-style-language/schema/raw/master/csl-citation.json"} </w:instrText>
      </w:r>
      <w:r w:rsidRPr="00637C41">
        <w:rPr>
          <w:lang w:val="en-US"/>
        </w:rPr>
        <w:fldChar w:fldCharType="separate"/>
      </w:r>
      <w:r w:rsidRPr="00637C41">
        <w:rPr>
          <w:lang w:val="en-US"/>
        </w:rPr>
        <w:t>[42]</w:t>
      </w:r>
      <w:r w:rsidRPr="00637C41">
        <w:fldChar w:fldCharType="end"/>
      </w:r>
      <w:r w:rsidRPr="00637C41">
        <w:rPr>
          <w:lang w:val="en-US"/>
        </w:rPr>
        <w:t>. Pathways differ in material composition, and logistical setup. The qualitative assessment was performed through the analysis of dimension-specific indicators to screen alternatives and exclude technically or organizationally infeasible options. Performance evaluation was then conducted through quantitative analysis of the selected indicators. The BWM was applied to support the weighting of assessment dimensions and aid in the selection of the most suitable pathway, leading to a final decision aligned with the defined evaluation criteria.</w:t>
      </w:r>
    </w:p>
    <w:p w14:paraId="6C9BA033" w14:textId="77777777" w:rsidR="00637C41" w:rsidRPr="00637C41" w:rsidRDefault="00637C41" w:rsidP="00637C41">
      <w:pPr>
        <w:pStyle w:val="Text"/>
        <w:jc w:val="center"/>
        <w:rPr>
          <w:lang w:val="en-US"/>
        </w:rPr>
      </w:pPr>
      <w:r w:rsidRPr="00637C41">
        <w:rPr>
          <w:noProof/>
          <w:lang w:val="en-US"/>
        </w:rPr>
        <w:drawing>
          <wp:inline distT="0" distB="0" distL="0" distR="0" wp14:anchorId="4789B961" wp14:editId="1D8DFEF2">
            <wp:extent cx="4688262" cy="3692769"/>
            <wp:effectExtent l="0" t="0" r="0" b="3175"/>
            <wp:docPr id="367504842" name="Picture 1" descr="A diagram of a probl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04842" name="Picture 1" descr="A diagram of a problem&#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4785172" cy="3769101"/>
                    </a:xfrm>
                    <a:prstGeom prst="rect">
                      <a:avLst/>
                    </a:prstGeom>
                  </pic:spPr>
                </pic:pic>
              </a:graphicData>
            </a:graphic>
          </wp:inline>
        </w:drawing>
      </w:r>
    </w:p>
    <w:p w14:paraId="057A23C6" w14:textId="1E7CBF80" w:rsidR="00637C41" w:rsidRPr="00637C41" w:rsidRDefault="00637C41" w:rsidP="00EE22B3">
      <w:pPr>
        <w:pStyle w:val="Caption"/>
        <w:rPr>
          <w:lang w:val="en-US"/>
        </w:rPr>
      </w:pPr>
      <w:r w:rsidRPr="00637C41">
        <w:rPr>
          <w:lang w:val="en-US"/>
        </w:rPr>
        <w:t>Figure 2: Framework for evaluating sustainable recycling pathways in automotive prototyping processes. Picture by the author.</w:t>
      </w:r>
    </w:p>
    <w:p w14:paraId="6C945311" w14:textId="48CEFC2C" w:rsidR="00B95A8E" w:rsidRPr="00B95A8E" w:rsidRDefault="00B95A8E" w:rsidP="00B95A8E">
      <w:pPr>
        <w:pStyle w:val="Heading10"/>
        <w:rPr>
          <w:lang w:val="en-GB"/>
        </w:rPr>
      </w:pPr>
      <w:r>
        <w:rPr>
          <w:lang w:val="en-GB"/>
        </w:rPr>
        <w:lastRenderedPageBreak/>
        <w:t>Case study and recycling pathway definition</w:t>
      </w:r>
    </w:p>
    <w:p w14:paraId="361E27EF" w14:textId="7D76647D" w:rsidR="00637C41" w:rsidRPr="00637C41" w:rsidRDefault="00637C41" w:rsidP="00637C41">
      <w:pPr>
        <w:rPr>
          <w:lang w:val="en-US"/>
        </w:rPr>
      </w:pPr>
      <w:r w:rsidRPr="00637C41">
        <w:rPr>
          <w:lang w:val="en-US"/>
        </w:rPr>
        <w:t xml:space="preserve">This section covers from the problem definition to pathway design (Step 1-5). The framework was applied to the case study of mechanical recycling of PA12 waste from automotive prototyping from PBF-LB/P processes. After repeated reuse cycles, PA12 powder and end-of-life prototype parts no longer meet production requirements and are treated as waste. The objective was to evaluate alternative pathways to convert this waste (both old powder and discarded prototypes) into different filaments suitable for MEX for tooling applications, and through the implementation of the framework, assess their performance and select one specific pathway. </w:t>
      </w:r>
    </w:p>
    <w:p w14:paraId="2FACF80A" w14:textId="591C8BBE" w:rsidR="00637C41" w:rsidRPr="00637C41" w:rsidRDefault="00637C41" w:rsidP="00EE22B3">
      <w:pPr>
        <w:pStyle w:val="p1a"/>
        <w:spacing w:after="240" w:line="276" w:lineRule="auto"/>
        <w:rPr>
          <w:rFonts w:asciiTheme="minorHAnsi" w:hAnsiTheme="minorHAnsi"/>
        </w:rPr>
      </w:pPr>
      <w:r w:rsidRPr="00637C41">
        <w:rPr>
          <w:rFonts w:asciiTheme="minorHAnsi" w:hAnsiTheme="minorHAnsi"/>
        </w:rPr>
        <w:t>Based on the company’s sustainability objectives, technical, economic, social and environmental indicators were selected. An initial indicator set was defined across the 4DS to reflect relevant performance and operational feasibility. For the assessment, system boundaries were defined to include the collection, processing (recycling), and reintegration of recycled material, distinguishing between internal and external recycling pathways. Internal recycling involves material processing within the originating production system, whereas external recycling relies on third-party processing, introducing additional logistics but offering access to specialized infrastructure.</w:t>
      </w:r>
    </w:p>
    <w:p w14:paraId="734AE270" w14:textId="5A0CB63A" w:rsidR="00637C41" w:rsidRPr="00637C41" w:rsidRDefault="00637C41" w:rsidP="00637C41">
      <w:pPr>
        <w:rPr>
          <w:lang w:val="en-US"/>
        </w:rPr>
      </w:pPr>
      <w:r w:rsidRPr="00637C41">
        <w:rPr>
          <w:lang w:val="en-US"/>
        </w:rPr>
        <w:t>Six recycling pathways were defined, differentiated by internal versus external recycling and by the ratio of shredded PA12 parts (flakes) to old PA12 powder. Pathways included internal recycling without mixing (A), and with mixing (B), external recycling abroad without mixing (C), and with mixing (D), external recycling domestically without mixing (E), and with mixing (F). Mixing ratios ranged from 90/10 to 50/50 flakes-to-powder. All pathways included collection, manual sorting of PA12 parts, removal of attachments, shredding to approximately 6 mm flakes (Figure 3), and drying at 80 °C prior to extrusion. Shredding in-house was performed using a shredder (Figure 4; specifications in Table 1).</w:t>
      </w:r>
    </w:p>
    <w:tbl>
      <w:tblPr>
        <w:tblStyle w:val="TableGrid"/>
        <w:tblW w:w="6882"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6"/>
        <w:gridCol w:w="3458"/>
      </w:tblGrid>
      <w:tr w:rsidR="00637C41" w14:paraId="145F6373" w14:textId="77777777" w:rsidTr="00637C41">
        <w:trPr>
          <w:trHeight w:val="2208"/>
          <w:jc w:val="center"/>
        </w:trPr>
        <w:tc>
          <w:tcPr>
            <w:tcW w:w="3441" w:type="dxa"/>
          </w:tcPr>
          <w:p w14:paraId="1ADDDEFF" w14:textId="77777777" w:rsidR="00637C41" w:rsidRDefault="00637C41" w:rsidP="00BA4286">
            <w:pPr>
              <w:pStyle w:val="p1a"/>
              <w:jc w:val="center"/>
            </w:pPr>
            <w:r>
              <w:rPr>
                <w:noProof/>
              </w:rPr>
              <w:drawing>
                <wp:inline distT="0" distB="0" distL="0" distR="0" wp14:anchorId="68DC287A" wp14:editId="31E4FEE4">
                  <wp:extent cx="2055153" cy="2978419"/>
                  <wp:effectExtent l="0" t="0" r="2540" b="0"/>
                  <wp:docPr id="1021048928" name="Picture 1" descr="A pile of white r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48928" name="Picture 1" descr="A pile of white rice&#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2137910" cy="3098354"/>
                          </a:xfrm>
                          <a:prstGeom prst="rect">
                            <a:avLst/>
                          </a:prstGeom>
                        </pic:spPr>
                      </pic:pic>
                    </a:graphicData>
                  </a:graphic>
                </wp:inline>
              </w:drawing>
            </w:r>
          </w:p>
        </w:tc>
        <w:tc>
          <w:tcPr>
            <w:tcW w:w="3441" w:type="dxa"/>
          </w:tcPr>
          <w:p w14:paraId="4CC09D4D" w14:textId="77777777" w:rsidR="00637C41" w:rsidRDefault="00637C41" w:rsidP="00BA4286">
            <w:pPr>
              <w:pStyle w:val="p1a"/>
              <w:jc w:val="center"/>
            </w:pPr>
            <w:r>
              <w:rPr>
                <w:noProof/>
              </w:rPr>
              <w:drawing>
                <wp:inline distT="0" distB="0" distL="0" distR="0" wp14:anchorId="4C24E94E" wp14:editId="17C8B8F6">
                  <wp:extent cx="2059067" cy="2977662"/>
                  <wp:effectExtent l="0" t="0" r="0" b="0"/>
                  <wp:docPr id="1949084674" name="Picture 1" descr="A machine with a large orang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84674" name="Picture 1" descr="A machine with a large orange objec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112644" cy="3055141"/>
                          </a:xfrm>
                          <a:prstGeom prst="rect">
                            <a:avLst/>
                          </a:prstGeom>
                        </pic:spPr>
                      </pic:pic>
                    </a:graphicData>
                  </a:graphic>
                </wp:inline>
              </w:drawing>
            </w:r>
          </w:p>
        </w:tc>
      </w:tr>
      <w:tr w:rsidR="00637C41" w:rsidRPr="0062253D" w14:paraId="1C39B252" w14:textId="77777777" w:rsidTr="00637C41">
        <w:trPr>
          <w:trHeight w:val="936"/>
          <w:jc w:val="center"/>
        </w:trPr>
        <w:tc>
          <w:tcPr>
            <w:tcW w:w="3441" w:type="dxa"/>
          </w:tcPr>
          <w:p w14:paraId="2A76E967" w14:textId="6ADCEF40" w:rsidR="00637C41" w:rsidRPr="00637C41" w:rsidRDefault="00637C41" w:rsidP="00637C41">
            <w:pPr>
              <w:pStyle w:val="Caption"/>
              <w:rPr>
                <w:lang w:val="en-US"/>
              </w:rPr>
            </w:pPr>
            <w:r w:rsidRPr="00637C41">
              <w:rPr>
                <w:lang w:val="en-US"/>
              </w:rPr>
              <w:t xml:space="preserve">Figure </w:t>
            </w:r>
            <w:r>
              <w:rPr>
                <w:lang w:val="en-US"/>
              </w:rPr>
              <w:t>3</w:t>
            </w:r>
            <w:r w:rsidRPr="00637C41">
              <w:rPr>
                <w:lang w:val="en-US"/>
              </w:rPr>
              <w:t xml:space="preserve">: </w:t>
            </w:r>
            <w:r>
              <w:rPr>
                <w:lang w:val="en-US"/>
              </w:rPr>
              <w:t>PA12 material after shredding process (6mm flakes)</w:t>
            </w:r>
            <w:r w:rsidRPr="00637C41">
              <w:rPr>
                <w:lang w:val="en-US"/>
              </w:rPr>
              <w:t>.</w:t>
            </w:r>
            <w:r>
              <w:rPr>
                <w:lang w:val="en-US"/>
              </w:rPr>
              <w:t xml:space="preserve"> Picture by the author.</w:t>
            </w:r>
          </w:p>
        </w:tc>
        <w:tc>
          <w:tcPr>
            <w:tcW w:w="3441" w:type="dxa"/>
          </w:tcPr>
          <w:p w14:paraId="4191A3D0" w14:textId="3C2C3DF0" w:rsidR="00637C41" w:rsidRPr="00637C41" w:rsidRDefault="00637C41" w:rsidP="00637C41">
            <w:pPr>
              <w:pStyle w:val="Caption"/>
              <w:rPr>
                <w:lang w:val="en-US"/>
              </w:rPr>
            </w:pPr>
            <w:r w:rsidRPr="00637C41">
              <w:rPr>
                <w:lang w:val="en-US"/>
              </w:rPr>
              <w:t xml:space="preserve">Figure </w:t>
            </w:r>
            <w:r>
              <w:rPr>
                <w:lang w:val="en-US"/>
              </w:rPr>
              <w:t>4</w:t>
            </w:r>
            <w:r w:rsidRPr="00637C41">
              <w:rPr>
                <w:lang w:val="en-US"/>
              </w:rPr>
              <w:t>:</w:t>
            </w:r>
            <w:r>
              <w:rPr>
                <w:lang w:val="en-US"/>
              </w:rPr>
              <w:t xml:space="preserve"> Polymers parts shredder</w:t>
            </w:r>
            <w:r w:rsidRPr="00637C41">
              <w:rPr>
                <w:lang w:val="en-US"/>
              </w:rPr>
              <w:t>. Picture by the author.</w:t>
            </w:r>
          </w:p>
          <w:p w14:paraId="2EE4D7DB" w14:textId="77777777" w:rsidR="00637C41" w:rsidRPr="00637C41" w:rsidRDefault="00637C41" w:rsidP="00637C41">
            <w:pPr>
              <w:rPr>
                <w:lang w:val="en-US" w:eastAsia="en-US"/>
              </w:rPr>
            </w:pPr>
          </w:p>
        </w:tc>
      </w:tr>
    </w:tbl>
    <w:p w14:paraId="390DC643" w14:textId="694D8645" w:rsidR="00637C41" w:rsidRPr="00D36C4A" w:rsidRDefault="00D36C4A" w:rsidP="00D36C4A">
      <w:pPr>
        <w:pStyle w:val="Caption"/>
        <w:rPr>
          <w:lang w:val="en-US"/>
        </w:rPr>
      </w:pPr>
      <w:r w:rsidRPr="00D36C4A">
        <w:rPr>
          <w:lang w:val="en-US"/>
        </w:rPr>
        <w:lastRenderedPageBreak/>
        <w:t>Table 1: Technical characteristics of the shredder purchased for recycling [43].</w:t>
      </w:r>
    </w:p>
    <w:tbl>
      <w:tblPr>
        <w:tblStyle w:val="RTe"/>
        <w:tblW w:w="9265" w:type="dxa"/>
        <w:jc w:val="center"/>
        <w:tblLayout w:type="fixed"/>
        <w:tblLook w:val="0000" w:firstRow="0" w:lastRow="0" w:firstColumn="0" w:lastColumn="0" w:noHBand="0" w:noVBand="0"/>
      </w:tblPr>
      <w:tblGrid>
        <w:gridCol w:w="4495"/>
        <w:gridCol w:w="4770"/>
      </w:tblGrid>
      <w:tr w:rsidR="00637C41" w:rsidRPr="009A3755" w14:paraId="4F17E866" w14:textId="77777777" w:rsidTr="00EE22B3">
        <w:trPr>
          <w:trHeight w:val="73"/>
          <w:jc w:val="center"/>
        </w:trPr>
        <w:tc>
          <w:tcPr>
            <w:tcW w:w="4495" w:type="dxa"/>
            <w:shd w:val="clear" w:color="auto" w:fill="E8E6E6"/>
          </w:tcPr>
          <w:p w14:paraId="607BD553" w14:textId="77777777" w:rsidR="00637C41" w:rsidRPr="00EE22B3" w:rsidRDefault="00637C41" w:rsidP="00EE22B3">
            <w:pPr>
              <w:pStyle w:val="Heading10"/>
              <w:spacing w:before="0" w:after="0"/>
              <w:rPr>
                <w:sz w:val="20"/>
                <w:szCs w:val="20"/>
              </w:rPr>
            </w:pPr>
            <w:proofErr w:type="spellStart"/>
            <w:r w:rsidRPr="00EE22B3">
              <w:rPr>
                <w:sz w:val="20"/>
                <w:szCs w:val="20"/>
              </w:rPr>
              <w:t>Characteristics</w:t>
            </w:r>
            <w:proofErr w:type="spellEnd"/>
          </w:p>
        </w:tc>
        <w:tc>
          <w:tcPr>
            <w:tcW w:w="4770" w:type="dxa"/>
            <w:shd w:val="clear" w:color="auto" w:fill="E8E6E6"/>
          </w:tcPr>
          <w:p w14:paraId="09B3BAF4" w14:textId="77777777" w:rsidR="00637C41" w:rsidRPr="00EE22B3" w:rsidRDefault="00637C41" w:rsidP="00EE22B3">
            <w:pPr>
              <w:pStyle w:val="Heading10"/>
              <w:spacing w:before="0" w:after="0"/>
              <w:rPr>
                <w:sz w:val="20"/>
                <w:szCs w:val="20"/>
              </w:rPr>
            </w:pPr>
            <w:r w:rsidRPr="00EE22B3">
              <w:rPr>
                <w:sz w:val="20"/>
                <w:szCs w:val="20"/>
              </w:rPr>
              <w:t>Value</w:t>
            </w:r>
          </w:p>
        </w:tc>
      </w:tr>
      <w:tr w:rsidR="00637C41" w:rsidRPr="009A3755" w14:paraId="08624BAA" w14:textId="77777777" w:rsidTr="00EE22B3">
        <w:trPr>
          <w:trHeight w:val="88"/>
          <w:jc w:val="center"/>
        </w:trPr>
        <w:tc>
          <w:tcPr>
            <w:tcW w:w="4495" w:type="dxa"/>
          </w:tcPr>
          <w:p w14:paraId="633B6F03" w14:textId="77777777" w:rsidR="00637C41" w:rsidRPr="00EE22B3" w:rsidRDefault="00637C41" w:rsidP="00BA4286">
            <w:pPr>
              <w:jc w:val="left"/>
            </w:pPr>
            <w:r w:rsidRPr="00EE22B3">
              <w:t>Type</w:t>
            </w:r>
          </w:p>
        </w:tc>
        <w:tc>
          <w:tcPr>
            <w:tcW w:w="4770" w:type="dxa"/>
          </w:tcPr>
          <w:p w14:paraId="7A1EBDBF" w14:textId="77777777" w:rsidR="00637C41" w:rsidRPr="00EE22B3" w:rsidRDefault="00637C41" w:rsidP="00BA4286">
            <w:pPr>
              <w:jc w:val="left"/>
            </w:pPr>
            <w:r w:rsidRPr="00EE22B3">
              <w:t>D30.50</w:t>
            </w:r>
          </w:p>
        </w:tc>
      </w:tr>
      <w:tr w:rsidR="00637C41" w:rsidRPr="009A3755" w14:paraId="387C76DD" w14:textId="77777777" w:rsidTr="00EE22B3">
        <w:trPr>
          <w:trHeight w:val="88"/>
          <w:jc w:val="center"/>
        </w:trPr>
        <w:tc>
          <w:tcPr>
            <w:tcW w:w="4495" w:type="dxa"/>
          </w:tcPr>
          <w:p w14:paraId="3DFD753A" w14:textId="77777777" w:rsidR="00637C41" w:rsidRPr="00EE22B3" w:rsidRDefault="00637C41" w:rsidP="00BA4286">
            <w:pPr>
              <w:jc w:val="left"/>
            </w:pPr>
            <w:r w:rsidRPr="00EE22B3">
              <w:t>Motor power</w:t>
            </w:r>
          </w:p>
        </w:tc>
        <w:tc>
          <w:tcPr>
            <w:tcW w:w="4770" w:type="dxa"/>
          </w:tcPr>
          <w:p w14:paraId="3F86FBF3" w14:textId="77777777" w:rsidR="00637C41" w:rsidRPr="00EE22B3" w:rsidRDefault="00637C41" w:rsidP="00BA4286">
            <w:pPr>
              <w:jc w:val="left"/>
            </w:pPr>
            <w:r w:rsidRPr="00EE22B3">
              <w:t>7,5 kW</w:t>
            </w:r>
          </w:p>
        </w:tc>
      </w:tr>
      <w:tr w:rsidR="00637C41" w:rsidRPr="009A3755" w14:paraId="192C9554" w14:textId="77777777" w:rsidTr="00EE22B3">
        <w:trPr>
          <w:trHeight w:val="88"/>
          <w:jc w:val="center"/>
        </w:trPr>
        <w:tc>
          <w:tcPr>
            <w:tcW w:w="4495" w:type="dxa"/>
          </w:tcPr>
          <w:p w14:paraId="19E8D11B" w14:textId="77777777" w:rsidR="00637C41" w:rsidRPr="00EE22B3" w:rsidRDefault="00637C41" w:rsidP="00BA4286">
            <w:pPr>
              <w:jc w:val="left"/>
            </w:pPr>
            <w:proofErr w:type="spellStart"/>
            <w:r w:rsidRPr="00EE22B3">
              <w:t>Voltage</w:t>
            </w:r>
            <w:proofErr w:type="spellEnd"/>
            <w:r w:rsidRPr="00EE22B3">
              <w:t xml:space="preserve"> </w:t>
            </w:r>
            <w:proofErr w:type="spellStart"/>
            <w:r w:rsidRPr="00EE22B3">
              <w:t>supply</w:t>
            </w:r>
            <w:proofErr w:type="spellEnd"/>
          </w:p>
        </w:tc>
        <w:tc>
          <w:tcPr>
            <w:tcW w:w="4770" w:type="dxa"/>
          </w:tcPr>
          <w:p w14:paraId="13AAC3F7" w14:textId="77777777" w:rsidR="00637C41" w:rsidRPr="00EE22B3" w:rsidRDefault="00637C41" w:rsidP="00BA4286">
            <w:pPr>
              <w:jc w:val="left"/>
            </w:pPr>
            <w:r w:rsidRPr="00EE22B3">
              <w:t>400 V/50 Hz</w:t>
            </w:r>
          </w:p>
        </w:tc>
      </w:tr>
      <w:tr w:rsidR="00637C41" w:rsidRPr="009A3755" w14:paraId="0E262DE7" w14:textId="77777777" w:rsidTr="00EE22B3">
        <w:trPr>
          <w:trHeight w:val="88"/>
          <w:jc w:val="center"/>
        </w:trPr>
        <w:tc>
          <w:tcPr>
            <w:tcW w:w="4495" w:type="dxa"/>
          </w:tcPr>
          <w:p w14:paraId="5E696CA3" w14:textId="77777777" w:rsidR="00637C41" w:rsidRPr="00EE22B3" w:rsidRDefault="00637C41" w:rsidP="00BA4286">
            <w:pPr>
              <w:jc w:val="left"/>
            </w:pPr>
            <w:r w:rsidRPr="00EE22B3">
              <w:t xml:space="preserve">Rotor </w:t>
            </w:r>
            <w:proofErr w:type="spellStart"/>
            <w:r w:rsidRPr="00EE22B3">
              <w:t>speed</w:t>
            </w:r>
            <w:proofErr w:type="spellEnd"/>
          </w:p>
        </w:tc>
        <w:tc>
          <w:tcPr>
            <w:tcW w:w="4770" w:type="dxa"/>
          </w:tcPr>
          <w:p w14:paraId="0D79A11B" w14:textId="77777777" w:rsidR="00637C41" w:rsidRPr="00EE22B3" w:rsidRDefault="00637C41" w:rsidP="00BA4286">
            <w:pPr>
              <w:jc w:val="left"/>
            </w:pPr>
            <w:r w:rsidRPr="00EE22B3">
              <w:t xml:space="preserve">450 </w:t>
            </w:r>
            <w:proofErr w:type="spellStart"/>
            <w:r w:rsidRPr="00EE22B3">
              <w:t>rpm</w:t>
            </w:r>
            <w:proofErr w:type="spellEnd"/>
          </w:p>
        </w:tc>
      </w:tr>
      <w:tr w:rsidR="00637C41" w:rsidRPr="009A3755" w14:paraId="1EF44A19" w14:textId="77777777" w:rsidTr="00EE22B3">
        <w:trPr>
          <w:trHeight w:val="88"/>
          <w:jc w:val="center"/>
        </w:trPr>
        <w:tc>
          <w:tcPr>
            <w:tcW w:w="4495" w:type="dxa"/>
          </w:tcPr>
          <w:p w14:paraId="69BBA705" w14:textId="77777777" w:rsidR="00637C41" w:rsidRPr="00EE22B3" w:rsidRDefault="00637C41" w:rsidP="00BA4286">
            <w:pPr>
              <w:jc w:val="left"/>
            </w:pPr>
            <w:r w:rsidRPr="00EE22B3">
              <w:t xml:space="preserve">Stator </w:t>
            </w:r>
            <w:proofErr w:type="spellStart"/>
            <w:r w:rsidRPr="00EE22B3">
              <w:t>knives</w:t>
            </w:r>
            <w:proofErr w:type="spellEnd"/>
          </w:p>
        </w:tc>
        <w:tc>
          <w:tcPr>
            <w:tcW w:w="4770" w:type="dxa"/>
          </w:tcPr>
          <w:p w14:paraId="5F035C2E" w14:textId="77777777" w:rsidR="00637C41" w:rsidRPr="00EE22B3" w:rsidRDefault="00637C41" w:rsidP="00BA4286">
            <w:pPr>
              <w:jc w:val="left"/>
            </w:pPr>
            <w:r w:rsidRPr="00EE22B3">
              <w:t>2</w:t>
            </w:r>
          </w:p>
        </w:tc>
      </w:tr>
      <w:tr w:rsidR="00637C41" w:rsidRPr="009A3755" w14:paraId="4CE71DB8" w14:textId="77777777" w:rsidTr="00EE22B3">
        <w:trPr>
          <w:trHeight w:val="88"/>
          <w:jc w:val="center"/>
        </w:trPr>
        <w:tc>
          <w:tcPr>
            <w:tcW w:w="4495" w:type="dxa"/>
          </w:tcPr>
          <w:p w14:paraId="1CCB5E73" w14:textId="77777777" w:rsidR="00637C41" w:rsidRPr="00EE22B3" w:rsidRDefault="00637C41" w:rsidP="00BA4286">
            <w:pPr>
              <w:jc w:val="left"/>
            </w:pPr>
            <w:r w:rsidRPr="00EE22B3">
              <w:t xml:space="preserve">Rotor </w:t>
            </w:r>
            <w:proofErr w:type="spellStart"/>
            <w:r w:rsidRPr="00EE22B3">
              <w:t>knives</w:t>
            </w:r>
            <w:proofErr w:type="spellEnd"/>
          </w:p>
        </w:tc>
        <w:tc>
          <w:tcPr>
            <w:tcW w:w="4770" w:type="dxa"/>
          </w:tcPr>
          <w:p w14:paraId="40F3328D" w14:textId="77777777" w:rsidR="00637C41" w:rsidRPr="00EE22B3" w:rsidRDefault="00637C41" w:rsidP="00BA4286">
            <w:pPr>
              <w:jc w:val="left"/>
            </w:pPr>
            <w:r w:rsidRPr="00EE22B3">
              <w:t>6</w:t>
            </w:r>
          </w:p>
        </w:tc>
      </w:tr>
      <w:tr w:rsidR="00637C41" w:rsidRPr="009A3755" w14:paraId="749EC10A" w14:textId="77777777" w:rsidTr="00EE22B3">
        <w:trPr>
          <w:trHeight w:val="88"/>
          <w:jc w:val="center"/>
        </w:trPr>
        <w:tc>
          <w:tcPr>
            <w:tcW w:w="4495" w:type="dxa"/>
          </w:tcPr>
          <w:p w14:paraId="596BF528" w14:textId="77777777" w:rsidR="00637C41" w:rsidRPr="00EE22B3" w:rsidRDefault="00637C41" w:rsidP="00BA4286">
            <w:pPr>
              <w:jc w:val="left"/>
            </w:pPr>
            <w:r w:rsidRPr="00EE22B3">
              <w:t xml:space="preserve">Cutting </w:t>
            </w:r>
            <w:proofErr w:type="spellStart"/>
            <w:r w:rsidRPr="00EE22B3">
              <w:t>chamber</w:t>
            </w:r>
            <w:proofErr w:type="spellEnd"/>
            <w:r w:rsidRPr="00EE22B3">
              <w:t xml:space="preserve"> </w:t>
            </w:r>
            <w:proofErr w:type="spellStart"/>
            <w:r w:rsidRPr="00EE22B3">
              <w:t>opening</w:t>
            </w:r>
            <w:proofErr w:type="spellEnd"/>
          </w:p>
        </w:tc>
        <w:tc>
          <w:tcPr>
            <w:tcW w:w="4770" w:type="dxa"/>
          </w:tcPr>
          <w:p w14:paraId="1DA8ED27" w14:textId="77777777" w:rsidR="00637C41" w:rsidRPr="00EE22B3" w:rsidRDefault="00637C41" w:rsidP="00BA4286">
            <w:pPr>
              <w:jc w:val="left"/>
            </w:pPr>
            <w:r w:rsidRPr="00EE22B3">
              <w:t>395 mm x 500 mm</w:t>
            </w:r>
          </w:p>
        </w:tc>
      </w:tr>
      <w:tr w:rsidR="00637C41" w:rsidRPr="009A3755" w14:paraId="5FE3F78A" w14:textId="77777777" w:rsidTr="00EE22B3">
        <w:trPr>
          <w:trHeight w:val="88"/>
          <w:jc w:val="center"/>
        </w:trPr>
        <w:tc>
          <w:tcPr>
            <w:tcW w:w="4495" w:type="dxa"/>
          </w:tcPr>
          <w:p w14:paraId="09608E9A" w14:textId="77777777" w:rsidR="00637C41" w:rsidRPr="00EE22B3" w:rsidRDefault="00637C41" w:rsidP="00BA4286">
            <w:pPr>
              <w:jc w:val="left"/>
            </w:pPr>
            <w:proofErr w:type="spellStart"/>
            <w:r w:rsidRPr="00EE22B3">
              <w:t>Sieve</w:t>
            </w:r>
            <w:proofErr w:type="spellEnd"/>
            <w:r w:rsidRPr="00EE22B3">
              <w:t xml:space="preserve"> </w:t>
            </w:r>
            <w:proofErr w:type="spellStart"/>
            <w:r w:rsidRPr="00EE22B3">
              <w:t>size</w:t>
            </w:r>
            <w:proofErr w:type="spellEnd"/>
          </w:p>
        </w:tc>
        <w:tc>
          <w:tcPr>
            <w:tcW w:w="4770" w:type="dxa"/>
          </w:tcPr>
          <w:p w14:paraId="584B680F" w14:textId="77777777" w:rsidR="00637C41" w:rsidRPr="00EE22B3" w:rsidRDefault="00637C41" w:rsidP="00BA4286">
            <w:pPr>
              <w:jc w:val="left"/>
            </w:pPr>
            <w:r w:rsidRPr="00EE22B3">
              <w:t>5 – 15 mm</w:t>
            </w:r>
          </w:p>
        </w:tc>
      </w:tr>
      <w:tr w:rsidR="00637C41" w:rsidRPr="009A3755" w14:paraId="39297E45" w14:textId="77777777" w:rsidTr="00EE22B3">
        <w:trPr>
          <w:trHeight w:val="88"/>
          <w:jc w:val="center"/>
        </w:trPr>
        <w:tc>
          <w:tcPr>
            <w:tcW w:w="4495" w:type="dxa"/>
          </w:tcPr>
          <w:p w14:paraId="479C5F25" w14:textId="77777777" w:rsidR="00637C41" w:rsidRPr="00EE22B3" w:rsidRDefault="00637C41" w:rsidP="00BA4286">
            <w:pPr>
              <w:jc w:val="left"/>
            </w:pPr>
            <w:proofErr w:type="spellStart"/>
            <w:r w:rsidRPr="00EE22B3">
              <w:t>Throughput</w:t>
            </w:r>
            <w:proofErr w:type="spellEnd"/>
          </w:p>
        </w:tc>
        <w:tc>
          <w:tcPr>
            <w:tcW w:w="4770" w:type="dxa"/>
          </w:tcPr>
          <w:p w14:paraId="54FAEB80" w14:textId="77777777" w:rsidR="00637C41" w:rsidRPr="00EE22B3" w:rsidRDefault="00637C41" w:rsidP="00BA4286">
            <w:pPr>
              <w:jc w:val="left"/>
            </w:pPr>
            <w:r w:rsidRPr="00EE22B3">
              <w:t>&gt; 250 kg/h</w:t>
            </w:r>
          </w:p>
        </w:tc>
      </w:tr>
      <w:tr w:rsidR="00637C41" w:rsidRPr="009A3755" w14:paraId="7EA51658" w14:textId="77777777" w:rsidTr="00EE22B3">
        <w:trPr>
          <w:trHeight w:val="88"/>
          <w:jc w:val="center"/>
        </w:trPr>
        <w:tc>
          <w:tcPr>
            <w:tcW w:w="4495" w:type="dxa"/>
          </w:tcPr>
          <w:p w14:paraId="07DDDEB5" w14:textId="77777777" w:rsidR="00637C41" w:rsidRPr="00EE22B3" w:rsidRDefault="00637C41" w:rsidP="00BA4286">
            <w:pPr>
              <w:jc w:val="left"/>
            </w:pPr>
            <w:proofErr w:type="spellStart"/>
            <w:r w:rsidRPr="00EE22B3">
              <w:t>Weight</w:t>
            </w:r>
            <w:proofErr w:type="spellEnd"/>
          </w:p>
        </w:tc>
        <w:tc>
          <w:tcPr>
            <w:tcW w:w="4770" w:type="dxa"/>
          </w:tcPr>
          <w:p w14:paraId="65B57DB9" w14:textId="77777777" w:rsidR="00637C41" w:rsidRPr="00EE22B3" w:rsidRDefault="00637C41" w:rsidP="00BA4286">
            <w:pPr>
              <w:jc w:val="left"/>
            </w:pPr>
            <w:r w:rsidRPr="00EE22B3">
              <w:t>600 kg</w:t>
            </w:r>
          </w:p>
        </w:tc>
      </w:tr>
      <w:tr w:rsidR="00637C41" w:rsidRPr="009A3755" w14:paraId="07D85EE1" w14:textId="77777777" w:rsidTr="00EE22B3">
        <w:trPr>
          <w:trHeight w:val="88"/>
          <w:jc w:val="center"/>
        </w:trPr>
        <w:tc>
          <w:tcPr>
            <w:tcW w:w="4495" w:type="dxa"/>
          </w:tcPr>
          <w:p w14:paraId="1E571CA4" w14:textId="77777777" w:rsidR="00637C41" w:rsidRPr="00EE22B3" w:rsidRDefault="00637C41" w:rsidP="00BA4286">
            <w:pPr>
              <w:jc w:val="left"/>
            </w:pPr>
            <w:r w:rsidRPr="00EE22B3">
              <w:t xml:space="preserve">Noise </w:t>
            </w:r>
            <w:proofErr w:type="spellStart"/>
            <w:r w:rsidRPr="00EE22B3">
              <w:t>emission</w:t>
            </w:r>
            <w:proofErr w:type="spellEnd"/>
            <w:r w:rsidRPr="00EE22B3">
              <w:t xml:space="preserve"> </w:t>
            </w:r>
            <w:proofErr w:type="spellStart"/>
            <w:r w:rsidRPr="00EE22B3">
              <w:t>value</w:t>
            </w:r>
            <w:proofErr w:type="spellEnd"/>
          </w:p>
        </w:tc>
        <w:tc>
          <w:tcPr>
            <w:tcW w:w="4770" w:type="dxa"/>
          </w:tcPr>
          <w:p w14:paraId="0EF27DFF" w14:textId="77777777" w:rsidR="00637C41" w:rsidRPr="00EE22B3" w:rsidRDefault="00637C41" w:rsidP="00BA4286">
            <w:pPr>
              <w:jc w:val="left"/>
            </w:pPr>
            <w:r w:rsidRPr="00EE22B3">
              <w:t>&lt; 85 dB</w:t>
            </w:r>
          </w:p>
        </w:tc>
      </w:tr>
    </w:tbl>
    <w:p w14:paraId="4CEF39BC" w14:textId="2BEA9A3D" w:rsidR="00B95A8E" w:rsidRPr="00B95A8E" w:rsidRDefault="00B95A8E" w:rsidP="00B95A8E">
      <w:pPr>
        <w:pStyle w:val="Heading10"/>
        <w:rPr>
          <w:lang w:val="en-GB"/>
        </w:rPr>
      </w:pPr>
      <w:r>
        <w:rPr>
          <w:lang w:val="en-GB"/>
        </w:rPr>
        <w:t>Assessment and selection of the recycling pathway</w:t>
      </w:r>
    </w:p>
    <w:p w14:paraId="24F90DB5" w14:textId="3729E3D9" w:rsidR="00F719EE" w:rsidRPr="00F719EE" w:rsidRDefault="00F719EE" w:rsidP="00F719EE">
      <w:pPr>
        <w:pStyle w:val="Text"/>
        <w:rPr>
          <w:lang w:val="en-US"/>
        </w:rPr>
      </w:pPr>
      <w:r w:rsidRPr="00F719EE">
        <w:rPr>
          <w:lang w:val="en-US"/>
        </w:rPr>
        <w:t>This section covers from the screening of the indicators until the selection of the best recycling pathway after the assessment (Step 6-10). Indicators previously selected were screened based on data availability, relevance to AM end-use, and ability to differentiate between pathways. Non-discriminatory indicators were removed prior to qualitative and quantitative assessment. For the final set, technical indicators included recycled material quantity, printability rate, transport distance, energy use, process lead time, and variability in tensile properties. Environmental indicators included transport and equipment related CO₂ emissions and noise pollution. Economic indicators captured investment requirements, and operating and disposal costs, while social indicators covered worker</w:t>
      </w:r>
      <w:r w:rsidR="00ED08C2">
        <w:rPr>
          <w:lang w:val="en-US"/>
        </w:rPr>
        <w:t>s</w:t>
      </w:r>
      <w:r w:rsidRPr="00F719EE">
        <w:rPr>
          <w:lang w:val="en-US"/>
        </w:rPr>
        <w:t xml:space="preserve"> acceptance, training required, and ease of management.  Qualitative pre-screening was performed using the indicators defined to assess the feasibility of the initially defined recycling pathways. The assessment focused on technical practicability and organizational compatibility within the defined system boundaries. Pathways associated with limited feasibility were excluded (the ones involving internal recycling), reducing the pathway set to the four most promising options (C, D, E, F) for further analysis.</w:t>
      </w:r>
    </w:p>
    <w:p w14:paraId="6529C6FB" w14:textId="507295EE" w:rsidR="00F719EE" w:rsidRPr="00637C41" w:rsidRDefault="00F719EE" w:rsidP="00637C41">
      <w:pPr>
        <w:pStyle w:val="Text"/>
        <w:rPr>
          <w:lang w:val="en-US"/>
        </w:rPr>
      </w:pPr>
      <w:r w:rsidRPr="00F719EE">
        <w:rPr>
          <w:lang w:val="en-US"/>
        </w:rPr>
        <w:t>In line with the defined indicators, economic, social, and environmental performance were evaluated based on experimental calculations, operational data from the facility, and secondary sources such as emission factors. Technical performance was assessed experimentally through tensile testing of MEX-printed specimens produced from recycled PA12 filaments, using tensile strength and elongation at break as indicators of material stability. The resulting indicator values were aggregated and weighted using the BWM to reflect company-specific sustainability priorities and support pathway selection.</w:t>
      </w:r>
    </w:p>
    <w:p w14:paraId="2B33E675" w14:textId="00AFAE5B" w:rsidR="00275ACE" w:rsidRPr="00F719EE" w:rsidRDefault="00F719EE" w:rsidP="00363165">
      <w:pPr>
        <w:pStyle w:val="Heading20"/>
        <w:rPr>
          <w:lang w:val="en-US"/>
        </w:rPr>
      </w:pPr>
      <w:r w:rsidRPr="00F719EE">
        <w:rPr>
          <w:lang w:val="en-US"/>
        </w:rPr>
        <w:t>Experimental setting and validation of</w:t>
      </w:r>
      <w:r>
        <w:rPr>
          <w:lang w:val="en-US"/>
        </w:rPr>
        <w:t xml:space="preserve"> the recycled </w:t>
      </w:r>
      <w:r w:rsidR="00EE22B3">
        <w:rPr>
          <w:lang w:val="en-US"/>
        </w:rPr>
        <w:t xml:space="preserve">material </w:t>
      </w:r>
    </w:p>
    <w:p w14:paraId="58EE9DD3" w14:textId="77777777" w:rsidR="00F719EE" w:rsidRPr="00F719EE" w:rsidRDefault="00F719EE" w:rsidP="00F719EE">
      <w:pPr>
        <w:rPr>
          <w:lang w:val="en-US"/>
        </w:rPr>
      </w:pPr>
      <w:bookmarkStart w:id="1" w:name="_Toc113044106"/>
      <w:r w:rsidRPr="00F719EE">
        <w:rPr>
          <w:lang w:val="en-US"/>
        </w:rPr>
        <w:t xml:space="preserve">Material suitability for MEX was assessed using a BCN3D Sigma D25 printer (Figure 5; specifications in Table 2) operating under an open-material system. Type 1A specimens were used for tensile testing of the materials (Figure 6; dimensions in Table 3) </w:t>
      </w:r>
      <w:r w:rsidRPr="00F719EE">
        <w:rPr>
          <w:lang w:val="en-US"/>
        </w:rPr>
        <w:fldChar w:fldCharType="begin"/>
      </w:r>
      <w:r w:rsidRPr="00F719EE">
        <w:rPr>
          <w:lang w:val="en-US"/>
        </w:rPr>
        <w:instrText xml:space="preserve"> ADDIN ZOTERO_ITEM CSL_CITATION {"citationID":"jmqK6p0t","properties":{"formattedCitation":"[44]","plainCitation":"[44]","noteIndex":0},"citationItems":[{"id":1982,"uris":["http://zotero.org/users/16450004/items/4W64QHCN"],"itemData":{"id":1982,"type":"document","title":"Plastics – Determination of tensile properties – Part 2: Test conditions for moulding and extrusion plastics (ISO 527-2:2012); German version EN ISO 527-2:2012","author":[{"literal":"DIN"}],"issued":{"date-parts":[["2012",6]]}}}],"schema":"https://github.com/citation-style-language/schema/raw/master/csl-citation.json"} </w:instrText>
      </w:r>
      <w:r w:rsidRPr="00F719EE">
        <w:rPr>
          <w:lang w:val="en-US"/>
        </w:rPr>
        <w:fldChar w:fldCharType="separate"/>
      </w:r>
      <w:r w:rsidRPr="00F719EE">
        <w:rPr>
          <w:lang w:val="en-US"/>
        </w:rPr>
        <w:t>[44]</w:t>
      </w:r>
      <w:r w:rsidRPr="00F719EE">
        <w:fldChar w:fldCharType="end"/>
      </w:r>
      <w:r w:rsidRPr="00F719EE">
        <w:rPr>
          <w:lang w:val="en-US"/>
        </w:rPr>
        <w:t>.</w:t>
      </w:r>
    </w:p>
    <w:p w14:paraId="5529993E" w14:textId="77777777" w:rsidR="00F719EE" w:rsidRPr="00F719EE" w:rsidRDefault="00F719EE" w:rsidP="00637C41">
      <w:pPr>
        <w:jc w:val="center"/>
        <w:rPr>
          <w:lang w:val="en-US"/>
        </w:rPr>
      </w:pPr>
      <w:r w:rsidRPr="00F719EE">
        <w:rPr>
          <w:noProof/>
          <w:lang w:val="en-US"/>
        </w:rPr>
        <w:lastRenderedPageBreak/>
        <w:drawing>
          <wp:inline distT="0" distB="0" distL="0" distR="0" wp14:anchorId="7BFD1CAA" wp14:editId="4CEFA5E3">
            <wp:extent cx="2382457" cy="2063262"/>
            <wp:effectExtent l="0" t="0" r="5715" b="0"/>
            <wp:docPr id="1177225418" name="Picture 1" descr="A white and blue pri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225418" name="Picture 1" descr="A white and blue printer&#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2436147" cy="2109759"/>
                    </a:xfrm>
                    <a:prstGeom prst="rect">
                      <a:avLst/>
                    </a:prstGeom>
                  </pic:spPr>
                </pic:pic>
              </a:graphicData>
            </a:graphic>
          </wp:inline>
        </w:drawing>
      </w:r>
    </w:p>
    <w:p w14:paraId="18EB5DF5" w14:textId="13AB53FA" w:rsidR="00637C41" w:rsidRPr="00F719EE" w:rsidRDefault="00637C41" w:rsidP="00637C41">
      <w:pPr>
        <w:pStyle w:val="Caption"/>
        <w:rPr>
          <w:lang w:val="en-US"/>
        </w:rPr>
      </w:pPr>
      <w:r w:rsidRPr="00637C41">
        <w:rPr>
          <w:lang w:val="en-US"/>
        </w:rPr>
        <w:t xml:space="preserve">Figure </w:t>
      </w:r>
      <w:r>
        <w:rPr>
          <w:lang w:val="en-US"/>
        </w:rPr>
        <w:t>5</w:t>
      </w:r>
      <w:r w:rsidRPr="00637C41">
        <w:rPr>
          <w:lang w:val="en-US"/>
        </w:rPr>
        <w:t xml:space="preserve">: </w:t>
      </w:r>
      <w:r>
        <w:rPr>
          <w:lang w:val="en-US"/>
        </w:rPr>
        <w:t xml:space="preserve">BCN3D Sigma D25 </w:t>
      </w:r>
      <w:r w:rsidRPr="00F719EE">
        <w:rPr>
          <w:lang w:val="en-US"/>
        </w:rPr>
        <w:fldChar w:fldCharType="begin"/>
      </w:r>
      <w:r w:rsidRPr="00F719EE">
        <w:rPr>
          <w:lang w:val="en-US"/>
        </w:rPr>
        <w:instrText xml:space="preserve"> ADDIN ZOTERO_ITEM CSL_CITATION {"citationID":"zsFYW0LH","properties":{"formattedCitation":"[45]","plainCitation":"[45]","noteIndex":0},"citationItems":[{"id":1983,"uris":["http://zotero.org/users/16450004/items/H8J7WQPB"],"itemData":{"id":1983,"type":"document","title":"BCN3D SIGMA D25","URL":"https://www.bcn3d.com/bcn3d-sigma-d25/","author":[{"literal":"BCN3D"}],"issued":{"date-parts":[["2022"]]}}}],"schema":"https://github.com/citation-style-language/schema/raw/master/csl-citation.json"} </w:instrText>
      </w:r>
      <w:r w:rsidRPr="00F719EE">
        <w:rPr>
          <w:lang w:val="en-US"/>
        </w:rPr>
        <w:fldChar w:fldCharType="separate"/>
      </w:r>
      <w:r w:rsidRPr="00F719EE">
        <w:rPr>
          <w:lang w:val="en-US"/>
        </w:rPr>
        <w:t>[45]</w:t>
      </w:r>
      <w:r w:rsidRPr="00F719EE">
        <w:fldChar w:fldCharType="end"/>
      </w:r>
      <w:r w:rsidRPr="00637C41">
        <w:rPr>
          <w:lang w:val="en-US"/>
        </w:rPr>
        <w:t>.</w:t>
      </w:r>
    </w:p>
    <w:p w14:paraId="4E3B689C" w14:textId="53AE1BFA" w:rsidR="00F719EE" w:rsidRPr="00F719EE" w:rsidRDefault="00D36C4A" w:rsidP="00D36C4A">
      <w:pPr>
        <w:pStyle w:val="Caption"/>
        <w:rPr>
          <w:lang w:val="en-US"/>
        </w:rPr>
      </w:pPr>
      <w:r w:rsidRPr="00D36C4A">
        <w:rPr>
          <w:lang w:val="en-US"/>
        </w:rPr>
        <w:t xml:space="preserve">Table </w:t>
      </w:r>
      <w:r>
        <w:rPr>
          <w:lang w:val="en-US"/>
        </w:rPr>
        <w:t>2</w:t>
      </w:r>
      <w:r w:rsidRPr="00D36C4A">
        <w:rPr>
          <w:lang w:val="en-US"/>
        </w:rPr>
        <w:t xml:space="preserve">: </w:t>
      </w:r>
      <w:r w:rsidRPr="00F719EE">
        <w:rPr>
          <w:lang w:val="en-US"/>
        </w:rPr>
        <w:t xml:space="preserve">Main technical characteristics of the MEX printer BCN3D Sigma D25 </w:t>
      </w:r>
      <w:r w:rsidRPr="00F719EE">
        <w:rPr>
          <w:lang w:val="en-US"/>
        </w:rPr>
        <w:fldChar w:fldCharType="begin"/>
      </w:r>
      <w:r w:rsidRPr="00F719EE">
        <w:rPr>
          <w:lang w:val="en-US"/>
        </w:rPr>
        <w:instrText xml:space="preserve"> ADDIN ZOTERO_ITEM CSL_CITATION {"citationID":"PuLPCz9m","properties":{"formattedCitation":"[45]","plainCitation":"[45]","noteIndex":0},"citationItems":[{"id":1983,"uris":["http://zotero.org/users/16450004/items/H8J7WQPB"],"itemData":{"id":1983,"type":"document","title":"BCN3D SIGMA D25","URL":"https://www.bcn3d.com/bcn3d-sigma-d25/","author":[{"literal":"BCN3D"}],"issued":{"date-parts":[["2022"]]}}}],"schema":"https://github.com/citation-style-language/schema/raw/master/csl-citation.json"} </w:instrText>
      </w:r>
      <w:r w:rsidRPr="00F719EE">
        <w:rPr>
          <w:lang w:val="en-US"/>
        </w:rPr>
        <w:fldChar w:fldCharType="separate"/>
      </w:r>
      <w:r w:rsidRPr="00F719EE">
        <w:rPr>
          <w:lang w:val="en-US"/>
        </w:rPr>
        <w:t>[45]</w:t>
      </w:r>
      <w:r w:rsidRPr="00F719EE">
        <w:fldChar w:fldCharType="end"/>
      </w:r>
      <w:r w:rsidRPr="00F719EE">
        <w:rPr>
          <w:lang w:val="en-US"/>
        </w:rPr>
        <w:t>.</w:t>
      </w:r>
    </w:p>
    <w:tbl>
      <w:tblPr>
        <w:tblStyle w:val="RTe"/>
        <w:tblW w:w="8995" w:type="dxa"/>
        <w:tblLayout w:type="fixed"/>
        <w:tblLook w:val="0000" w:firstRow="0" w:lastRow="0" w:firstColumn="0" w:lastColumn="0" w:noHBand="0" w:noVBand="0"/>
      </w:tblPr>
      <w:tblGrid>
        <w:gridCol w:w="4315"/>
        <w:gridCol w:w="4680"/>
      </w:tblGrid>
      <w:tr w:rsidR="00F719EE" w:rsidRPr="00F719EE" w14:paraId="08031F92" w14:textId="77777777" w:rsidTr="00EE22B3">
        <w:tc>
          <w:tcPr>
            <w:tcW w:w="4315" w:type="dxa"/>
            <w:shd w:val="clear" w:color="auto" w:fill="E8E6E6"/>
          </w:tcPr>
          <w:p w14:paraId="582917DD" w14:textId="77777777" w:rsidR="00F719EE" w:rsidRPr="00EE22B3" w:rsidRDefault="00F719EE" w:rsidP="00EE22B3">
            <w:pPr>
              <w:pStyle w:val="Heading10"/>
              <w:spacing w:before="0" w:after="0"/>
              <w:rPr>
                <w:sz w:val="20"/>
                <w:szCs w:val="20"/>
                <w:lang w:val="en-US"/>
              </w:rPr>
            </w:pPr>
            <w:r w:rsidRPr="00EE22B3">
              <w:rPr>
                <w:sz w:val="20"/>
                <w:szCs w:val="20"/>
                <w:lang w:val="en-US"/>
              </w:rPr>
              <w:t>Characteristics</w:t>
            </w:r>
          </w:p>
        </w:tc>
        <w:tc>
          <w:tcPr>
            <w:tcW w:w="4680" w:type="dxa"/>
            <w:shd w:val="clear" w:color="auto" w:fill="E8E6E6"/>
          </w:tcPr>
          <w:p w14:paraId="3B856868" w14:textId="77777777" w:rsidR="00F719EE" w:rsidRPr="00EE22B3" w:rsidRDefault="00F719EE" w:rsidP="00EE22B3">
            <w:pPr>
              <w:pStyle w:val="Heading10"/>
              <w:spacing w:before="0" w:after="0"/>
              <w:rPr>
                <w:sz w:val="20"/>
                <w:szCs w:val="20"/>
                <w:lang w:val="en-US"/>
              </w:rPr>
            </w:pPr>
            <w:r w:rsidRPr="00EE22B3">
              <w:rPr>
                <w:sz w:val="20"/>
                <w:szCs w:val="20"/>
                <w:lang w:val="en-US"/>
              </w:rPr>
              <w:t>Value</w:t>
            </w:r>
          </w:p>
        </w:tc>
      </w:tr>
      <w:tr w:rsidR="00F719EE" w:rsidRPr="00F719EE" w14:paraId="2B0DF89F" w14:textId="77777777" w:rsidTr="00EE22B3">
        <w:trPr>
          <w:trHeight w:val="284"/>
        </w:trPr>
        <w:tc>
          <w:tcPr>
            <w:tcW w:w="4315" w:type="dxa"/>
          </w:tcPr>
          <w:p w14:paraId="7ADEE9F2" w14:textId="77777777" w:rsidR="00F719EE" w:rsidRPr="00F719EE" w:rsidRDefault="00F719EE" w:rsidP="00EE22B3">
            <w:pPr>
              <w:rPr>
                <w:lang w:val="en-US"/>
              </w:rPr>
            </w:pPr>
            <w:r w:rsidRPr="00F719EE">
              <w:rPr>
                <w:lang w:val="en-US"/>
              </w:rPr>
              <w:t>3D printing technology</w:t>
            </w:r>
          </w:p>
        </w:tc>
        <w:tc>
          <w:tcPr>
            <w:tcW w:w="4680" w:type="dxa"/>
          </w:tcPr>
          <w:p w14:paraId="54C1D4CF" w14:textId="77777777" w:rsidR="00F719EE" w:rsidRPr="00F719EE" w:rsidRDefault="00F719EE" w:rsidP="00EE22B3">
            <w:pPr>
              <w:rPr>
                <w:lang w:val="en-US"/>
              </w:rPr>
            </w:pPr>
            <w:r w:rsidRPr="00F719EE">
              <w:rPr>
                <w:lang w:val="en-US"/>
              </w:rPr>
              <w:t>Material Extrusion (MEX)</w:t>
            </w:r>
          </w:p>
        </w:tc>
      </w:tr>
      <w:tr w:rsidR="00F719EE" w:rsidRPr="00F719EE" w14:paraId="55EAB531" w14:textId="77777777" w:rsidTr="00EE22B3">
        <w:trPr>
          <w:trHeight w:val="284"/>
        </w:trPr>
        <w:tc>
          <w:tcPr>
            <w:tcW w:w="4315" w:type="dxa"/>
          </w:tcPr>
          <w:p w14:paraId="5207A30F" w14:textId="77777777" w:rsidR="00F719EE" w:rsidRPr="00F719EE" w:rsidRDefault="00F719EE" w:rsidP="00EE22B3">
            <w:pPr>
              <w:rPr>
                <w:lang w:val="en-US"/>
              </w:rPr>
            </w:pPr>
            <w:r w:rsidRPr="00F719EE">
              <w:rPr>
                <w:lang w:val="en-US"/>
              </w:rPr>
              <w:t>Architecture</w:t>
            </w:r>
          </w:p>
        </w:tc>
        <w:tc>
          <w:tcPr>
            <w:tcW w:w="4680" w:type="dxa"/>
          </w:tcPr>
          <w:p w14:paraId="0A07523D" w14:textId="77777777" w:rsidR="00F719EE" w:rsidRPr="00F719EE" w:rsidRDefault="00F719EE" w:rsidP="00EE22B3">
            <w:pPr>
              <w:rPr>
                <w:lang w:val="en-US"/>
              </w:rPr>
            </w:pPr>
            <w:r w:rsidRPr="00F719EE">
              <w:rPr>
                <w:lang w:val="en-US"/>
              </w:rPr>
              <w:t>Independent Dual Extruder (IDEX)</w:t>
            </w:r>
          </w:p>
        </w:tc>
      </w:tr>
      <w:tr w:rsidR="00F719EE" w:rsidRPr="00F719EE" w14:paraId="0C3080B6" w14:textId="77777777" w:rsidTr="00EE22B3">
        <w:trPr>
          <w:trHeight w:val="284"/>
        </w:trPr>
        <w:tc>
          <w:tcPr>
            <w:tcW w:w="4315" w:type="dxa"/>
          </w:tcPr>
          <w:p w14:paraId="2835FA22" w14:textId="77777777" w:rsidR="00F719EE" w:rsidRPr="00F719EE" w:rsidRDefault="00F719EE" w:rsidP="00EE22B3">
            <w:pPr>
              <w:rPr>
                <w:lang w:val="en-US"/>
              </w:rPr>
            </w:pPr>
            <w:r w:rsidRPr="00F719EE">
              <w:rPr>
                <w:lang w:val="en-US"/>
              </w:rPr>
              <w:t>Printing volume</w:t>
            </w:r>
          </w:p>
        </w:tc>
        <w:tc>
          <w:tcPr>
            <w:tcW w:w="4680" w:type="dxa"/>
          </w:tcPr>
          <w:p w14:paraId="39C9C251" w14:textId="77777777" w:rsidR="00F719EE" w:rsidRPr="00F719EE" w:rsidRDefault="00F719EE" w:rsidP="00EE22B3">
            <w:pPr>
              <w:rPr>
                <w:lang w:val="en-US"/>
              </w:rPr>
            </w:pPr>
            <w:r w:rsidRPr="00F719EE">
              <w:rPr>
                <w:lang w:val="en-US"/>
              </w:rPr>
              <w:t>420mm x 300 mm x 200 mm</w:t>
            </w:r>
          </w:p>
        </w:tc>
      </w:tr>
      <w:tr w:rsidR="00F719EE" w:rsidRPr="00F719EE" w14:paraId="0CE8297B" w14:textId="77777777" w:rsidTr="00EE22B3">
        <w:trPr>
          <w:trHeight w:val="284"/>
        </w:trPr>
        <w:tc>
          <w:tcPr>
            <w:tcW w:w="4315" w:type="dxa"/>
          </w:tcPr>
          <w:p w14:paraId="3BC66D15" w14:textId="77777777" w:rsidR="00F719EE" w:rsidRPr="00F719EE" w:rsidRDefault="00F719EE" w:rsidP="00EE22B3">
            <w:pPr>
              <w:rPr>
                <w:lang w:val="en-US"/>
              </w:rPr>
            </w:pPr>
            <w:r w:rsidRPr="00F719EE">
              <w:rPr>
                <w:lang w:val="en-US"/>
              </w:rPr>
              <w:t>Number of extruders</w:t>
            </w:r>
          </w:p>
        </w:tc>
        <w:tc>
          <w:tcPr>
            <w:tcW w:w="4680" w:type="dxa"/>
          </w:tcPr>
          <w:p w14:paraId="4653837D" w14:textId="77777777" w:rsidR="00F719EE" w:rsidRPr="00F719EE" w:rsidRDefault="00F719EE" w:rsidP="00EE22B3">
            <w:pPr>
              <w:rPr>
                <w:lang w:val="en-US"/>
              </w:rPr>
            </w:pPr>
            <w:r w:rsidRPr="00F719EE">
              <w:rPr>
                <w:lang w:val="en-US"/>
              </w:rPr>
              <w:t>2</w:t>
            </w:r>
          </w:p>
        </w:tc>
      </w:tr>
      <w:tr w:rsidR="00F719EE" w:rsidRPr="00F719EE" w14:paraId="78008158" w14:textId="77777777" w:rsidTr="00EE22B3">
        <w:trPr>
          <w:trHeight w:val="284"/>
        </w:trPr>
        <w:tc>
          <w:tcPr>
            <w:tcW w:w="4315" w:type="dxa"/>
          </w:tcPr>
          <w:p w14:paraId="418C09B5" w14:textId="77777777" w:rsidR="00F719EE" w:rsidRPr="00F719EE" w:rsidRDefault="00F719EE" w:rsidP="00EE22B3">
            <w:pPr>
              <w:rPr>
                <w:lang w:val="en-US"/>
              </w:rPr>
            </w:pPr>
            <w:r w:rsidRPr="00F719EE">
              <w:rPr>
                <w:lang w:val="en-US"/>
              </w:rPr>
              <w:t>Supported files</w:t>
            </w:r>
          </w:p>
        </w:tc>
        <w:tc>
          <w:tcPr>
            <w:tcW w:w="4680" w:type="dxa"/>
          </w:tcPr>
          <w:p w14:paraId="345D3D2C" w14:textId="77777777" w:rsidR="00F719EE" w:rsidRPr="00F719EE" w:rsidRDefault="00F719EE" w:rsidP="00EE22B3">
            <w:pPr>
              <w:rPr>
                <w:lang w:val="en-US"/>
              </w:rPr>
            </w:pPr>
            <w:r w:rsidRPr="00F719EE">
              <w:rPr>
                <w:lang w:val="en-US"/>
              </w:rPr>
              <w:t xml:space="preserve">*. </w:t>
            </w:r>
            <w:proofErr w:type="spellStart"/>
            <w:r w:rsidRPr="00F719EE">
              <w:rPr>
                <w:lang w:val="en-US"/>
              </w:rPr>
              <w:t>gcode</w:t>
            </w:r>
            <w:proofErr w:type="spellEnd"/>
          </w:p>
        </w:tc>
      </w:tr>
      <w:tr w:rsidR="00F719EE" w:rsidRPr="00F719EE" w14:paraId="45B394C8" w14:textId="77777777" w:rsidTr="00EE22B3">
        <w:trPr>
          <w:trHeight w:val="284"/>
        </w:trPr>
        <w:tc>
          <w:tcPr>
            <w:tcW w:w="4315" w:type="dxa"/>
          </w:tcPr>
          <w:p w14:paraId="466F0E4B" w14:textId="77777777" w:rsidR="00F719EE" w:rsidRPr="00F719EE" w:rsidRDefault="00F719EE" w:rsidP="00EE22B3">
            <w:pPr>
              <w:rPr>
                <w:lang w:val="en-US"/>
              </w:rPr>
            </w:pPr>
            <w:r w:rsidRPr="00F719EE">
              <w:rPr>
                <w:lang w:val="en-US"/>
              </w:rPr>
              <w:t>Nozzle diameter</w:t>
            </w:r>
          </w:p>
        </w:tc>
        <w:tc>
          <w:tcPr>
            <w:tcW w:w="4680" w:type="dxa"/>
          </w:tcPr>
          <w:p w14:paraId="2D8440B8" w14:textId="77777777" w:rsidR="00F719EE" w:rsidRPr="00F719EE" w:rsidRDefault="00F719EE" w:rsidP="00EE22B3">
            <w:pPr>
              <w:rPr>
                <w:lang w:val="en-US"/>
              </w:rPr>
            </w:pPr>
            <w:r w:rsidRPr="00F719EE">
              <w:rPr>
                <w:lang w:val="en-US"/>
              </w:rPr>
              <w:t>0,4 mm — 0,6 mm — 0,8 mm</w:t>
            </w:r>
          </w:p>
        </w:tc>
      </w:tr>
      <w:tr w:rsidR="00F719EE" w:rsidRPr="00F719EE" w14:paraId="7DBD6255" w14:textId="77777777" w:rsidTr="00EE22B3">
        <w:trPr>
          <w:trHeight w:val="284"/>
        </w:trPr>
        <w:tc>
          <w:tcPr>
            <w:tcW w:w="4315" w:type="dxa"/>
          </w:tcPr>
          <w:p w14:paraId="155F9081" w14:textId="77777777" w:rsidR="00F719EE" w:rsidRPr="00F719EE" w:rsidRDefault="00F719EE" w:rsidP="00EE22B3">
            <w:pPr>
              <w:rPr>
                <w:lang w:val="en-US"/>
              </w:rPr>
            </w:pPr>
            <w:r w:rsidRPr="00F719EE">
              <w:rPr>
                <w:lang w:val="en-US"/>
              </w:rPr>
              <w:t>Filament diameter</w:t>
            </w:r>
          </w:p>
        </w:tc>
        <w:tc>
          <w:tcPr>
            <w:tcW w:w="4680" w:type="dxa"/>
          </w:tcPr>
          <w:p w14:paraId="0E376228" w14:textId="77777777" w:rsidR="00F719EE" w:rsidRPr="00F719EE" w:rsidRDefault="00F719EE" w:rsidP="00EE22B3">
            <w:pPr>
              <w:rPr>
                <w:lang w:val="en-US"/>
              </w:rPr>
            </w:pPr>
            <w:r w:rsidRPr="00F719EE">
              <w:rPr>
                <w:lang w:val="en-US"/>
              </w:rPr>
              <w:t>2,85 ± 0,05 mm</w:t>
            </w:r>
          </w:p>
        </w:tc>
      </w:tr>
      <w:tr w:rsidR="00F719EE" w:rsidRPr="00F719EE" w14:paraId="42BCA410" w14:textId="77777777" w:rsidTr="00EE22B3">
        <w:trPr>
          <w:trHeight w:val="284"/>
        </w:trPr>
        <w:tc>
          <w:tcPr>
            <w:tcW w:w="4315" w:type="dxa"/>
          </w:tcPr>
          <w:p w14:paraId="657253DB" w14:textId="77777777" w:rsidR="00F719EE" w:rsidRPr="00F719EE" w:rsidRDefault="00F719EE" w:rsidP="00EE22B3">
            <w:pPr>
              <w:rPr>
                <w:lang w:val="en-US"/>
              </w:rPr>
            </w:pPr>
            <w:r w:rsidRPr="00F719EE">
              <w:rPr>
                <w:lang w:val="en-US"/>
              </w:rPr>
              <w:t>Open filament system</w:t>
            </w:r>
          </w:p>
        </w:tc>
        <w:tc>
          <w:tcPr>
            <w:tcW w:w="4680" w:type="dxa"/>
          </w:tcPr>
          <w:p w14:paraId="6E07F7DC" w14:textId="77777777" w:rsidR="00F719EE" w:rsidRPr="00F719EE" w:rsidRDefault="00F719EE" w:rsidP="00EE22B3">
            <w:pPr>
              <w:rPr>
                <w:lang w:val="en-US"/>
              </w:rPr>
            </w:pPr>
            <w:r w:rsidRPr="00F719EE">
              <w:rPr>
                <w:lang w:val="en-US"/>
              </w:rPr>
              <w:t>Yes</w:t>
            </w:r>
          </w:p>
        </w:tc>
      </w:tr>
      <w:tr w:rsidR="00F719EE" w:rsidRPr="00F719EE" w14:paraId="1C42C279" w14:textId="77777777" w:rsidTr="00EE22B3">
        <w:trPr>
          <w:trHeight w:val="284"/>
        </w:trPr>
        <w:tc>
          <w:tcPr>
            <w:tcW w:w="4315" w:type="dxa"/>
          </w:tcPr>
          <w:p w14:paraId="59EEDE4A" w14:textId="77777777" w:rsidR="00F719EE" w:rsidRPr="00F719EE" w:rsidRDefault="00F719EE" w:rsidP="00EE22B3">
            <w:pPr>
              <w:rPr>
                <w:lang w:val="en-US"/>
              </w:rPr>
            </w:pPr>
            <w:r w:rsidRPr="00F719EE">
              <w:rPr>
                <w:lang w:val="en-US"/>
              </w:rPr>
              <w:t>File preparation software</w:t>
            </w:r>
          </w:p>
        </w:tc>
        <w:tc>
          <w:tcPr>
            <w:tcW w:w="4680" w:type="dxa"/>
          </w:tcPr>
          <w:p w14:paraId="3BD2ACFA" w14:textId="77777777" w:rsidR="00F719EE" w:rsidRPr="00F719EE" w:rsidRDefault="00F719EE" w:rsidP="00EE22B3">
            <w:pPr>
              <w:rPr>
                <w:lang w:val="en-US"/>
              </w:rPr>
            </w:pPr>
            <w:r w:rsidRPr="00F719EE">
              <w:rPr>
                <w:lang w:val="en-US"/>
              </w:rPr>
              <w:t>BCN3D Stratos</w:t>
            </w:r>
          </w:p>
        </w:tc>
      </w:tr>
    </w:tbl>
    <w:p w14:paraId="482B52A8" w14:textId="77777777" w:rsidR="00F719EE" w:rsidRPr="00F719EE" w:rsidRDefault="00F719EE" w:rsidP="00F719EE">
      <w:pPr>
        <w:rPr>
          <w:lang w:val="en-US"/>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5"/>
        <w:gridCol w:w="4739"/>
      </w:tblGrid>
      <w:tr w:rsidR="00637C41" w:rsidRPr="00F719EE" w14:paraId="4F62F97D" w14:textId="77777777" w:rsidTr="00BA4286">
        <w:tc>
          <w:tcPr>
            <w:tcW w:w="3299" w:type="dxa"/>
          </w:tcPr>
          <w:p w14:paraId="410EC16F" w14:textId="77777777" w:rsidR="00F719EE" w:rsidRPr="00F719EE" w:rsidRDefault="00F719EE" w:rsidP="00637C41">
            <w:pPr>
              <w:jc w:val="center"/>
              <w:rPr>
                <w:lang w:val="en-US"/>
              </w:rPr>
            </w:pPr>
            <w:r w:rsidRPr="00F719EE">
              <w:rPr>
                <w:noProof/>
                <w:lang w:val="en-US"/>
              </w:rPr>
              <w:drawing>
                <wp:inline distT="0" distB="0" distL="0" distR="0" wp14:anchorId="469A61CB" wp14:editId="4FA8A3BA">
                  <wp:extent cx="2520461" cy="1731192"/>
                  <wp:effectExtent l="0" t="0" r="0" b="0"/>
                  <wp:docPr id="1325915433" name="Picture 1" descr="A black object on a gr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915433" name="Picture 1" descr="A black object on a grid&#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2577617" cy="1770450"/>
                          </a:xfrm>
                          <a:prstGeom prst="rect">
                            <a:avLst/>
                          </a:prstGeom>
                        </pic:spPr>
                      </pic:pic>
                    </a:graphicData>
                  </a:graphic>
                </wp:inline>
              </w:drawing>
            </w:r>
          </w:p>
        </w:tc>
        <w:tc>
          <w:tcPr>
            <w:tcW w:w="3619" w:type="dxa"/>
            <w:vAlign w:val="center"/>
          </w:tcPr>
          <w:p w14:paraId="6E1FA752" w14:textId="77777777" w:rsidR="00F719EE" w:rsidRPr="00F719EE" w:rsidRDefault="00F719EE" w:rsidP="00637C41">
            <w:pPr>
              <w:jc w:val="center"/>
              <w:rPr>
                <w:lang w:val="en-US"/>
              </w:rPr>
            </w:pPr>
            <w:r w:rsidRPr="00F719EE">
              <w:rPr>
                <w:noProof/>
                <w:lang w:val="en-US"/>
              </w:rPr>
              <w:drawing>
                <wp:inline distT="0" distB="0" distL="0" distR="0" wp14:anchorId="2E11E47C" wp14:editId="4E096294">
                  <wp:extent cx="2872154" cy="1511902"/>
                  <wp:effectExtent l="0" t="0" r="0" b="0"/>
                  <wp:docPr id="1483596763" name="Picture 1" descr="A drawing of a t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596763" name="Picture 1" descr="A drawing of a tool&#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2949940" cy="1552848"/>
                          </a:xfrm>
                          <a:prstGeom prst="rect">
                            <a:avLst/>
                          </a:prstGeom>
                        </pic:spPr>
                      </pic:pic>
                    </a:graphicData>
                  </a:graphic>
                </wp:inline>
              </w:drawing>
            </w:r>
          </w:p>
        </w:tc>
      </w:tr>
    </w:tbl>
    <w:p w14:paraId="131E28EE" w14:textId="3F6DBCAD" w:rsidR="00637C41" w:rsidRPr="00637C41" w:rsidRDefault="00637C41" w:rsidP="00637C41">
      <w:pPr>
        <w:pStyle w:val="Caption"/>
        <w:rPr>
          <w:lang w:val="en-US"/>
        </w:rPr>
      </w:pPr>
      <w:r w:rsidRPr="00637C41">
        <w:rPr>
          <w:lang w:val="en-US"/>
        </w:rPr>
        <w:t xml:space="preserve">Figure </w:t>
      </w:r>
      <w:r>
        <w:rPr>
          <w:lang w:val="en-US"/>
        </w:rPr>
        <w:t>6</w:t>
      </w:r>
      <w:r w:rsidRPr="00637C41">
        <w:rPr>
          <w:lang w:val="en-US"/>
        </w:rPr>
        <w:t xml:space="preserve">: </w:t>
      </w:r>
      <w:r w:rsidRPr="00F719EE">
        <w:rPr>
          <w:lang w:val="en-US"/>
        </w:rPr>
        <w:t xml:space="preserve">Standard test specimen Type 1A in DIN EN ISO 527-2 </w:t>
      </w:r>
      <w:r w:rsidRPr="00F719EE">
        <w:rPr>
          <w:lang w:val="en-US"/>
        </w:rPr>
        <w:fldChar w:fldCharType="begin"/>
      </w:r>
      <w:r w:rsidRPr="00F719EE">
        <w:rPr>
          <w:lang w:val="en-US"/>
        </w:rPr>
        <w:instrText xml:space="preserve"> ADDIN ZOTERO_ITEM CSL_CITATION {"citationID":"j9DX0WUI","properties":{"formattedCitation":"[44]","plainCitation":"[44]","noteIndex":0},"citationItems":[{"id":1982,"uris":["http://zotero.org/users/16450004/items/4W64QHCN"],"itemData":{"id":1982,"type":"document","title":"Plastics – Determination of tensile properties – Part 2: Test conditions for moulding and extrusion plastics (ISO 527-2:2012); German version EN ISO 527-2:2012","author":[{"literal":"DIN"}],"issued":{"date-parts":[["2012",6]]}}}],"schema":"https://github.com/citation-style-language/schema/raw/master/csl-citation.json"} </w:instrText>
      </w:r>
      <w:r w:rsidRPr="00F719EE">
        <w:rPr>
          <w:lang w:val="en-US"/>
        </w:rPr>
        <w:fldChar w:fldCharType="separate"/>
      </w:r>
      <w:r w:rsidRPr="00F719EE">
        <w:rPr>
          <w:lang w:val="en-US"/>
        </w:rPr>
        <w:t>[44]</w:t>
      </w:r>
      <w:r w:rsidRPr="00F719EE">
        <w:fldChar w:fldCharType="end"/>
      </w:r>
      <w:r w:rsidRPr="00F719EE">
        <w:rPr>
          <w:lang w:val="en-US"/>
        </w:rPr>
        <w:t xml:space="preserve">: </w:t>
      </w:r>
      <w:r w:rsidRPr="00F719EE">
        <w:rPr>
          <w:b/>
          <w:bCs/>
          <w:lang w:val="en-US"/>
        </w:rPr>
        <w:t>(a)</w:t>
      </w:r>
      <w:r w:rsidRPr="00F719EE">
        <w:rPr>
          <w:lang w:val="en-US"/>
        </w:rPr>
        <w:t xml:space="preserve"> 3D model (left) and </w:t>
      </w:r>
      <w:r w:rsidRPr="00F719EE">
        <w:rPr>
          <w:b/>
          <w:bCs/>
          <w:lang w:val="en-US"/>
        </w:rPr>
        <w:t>(b)</w:t>
      </w:r>
      <w:r w:rsidRPr="00F719EE">
        <w:rPr>
          <w:lang w:val="en-US"/>
        </w:rPr>
        <w:t xml:space="preserve"> technical dimensions (right).</w:t>
      </w:r>
    </w:p>
    <w:p w14:paraId="07DDA969" w14:textId="09E135FC" w:rsidR="00D36C4A" w:rsidRPr="00F719EE" w:rsidRDefault="00D36C4A" w:rsidP="00EE22B3">
      <w:pPr>
        <w:pStyle w:val="Caption"/>
        <w:rPr>
          <w:lang w:val="en-US"/>
        </w:rPr>
      </w:pPr>
      <w:r w:rsidRPr="00D36C4A">
        <w:rPr>
          <w:lang w:val="en-US"/>
        </w:rPr>
        <w:t xml:space="preserve">Table </w:t>
      </w:r>
      <w:r>
        <w:rPr>
          <w:lang w:val="en-US"/>
        </w:rPr>
        <w:t>3</w:t>
      </w:r>
      <w:r w:rsidRPr="00D36C4A">
        <w:rPr>
          <w:lang w:val="en-US"/>
        </w:rPr>
        <w:t xml:space="preserve">: </w:t>
      </w:r>
      <w:r w:rsidRPr="00F719EE">
        <w:rPr>
          <w:lang w:val="en-US"/>
        </w:rPr>
        <w:t xml:space="preserve">Specimen Type 1A dimensions (ISO 527-2:2012) </w:t>
      </w:r>
      <w:r w:rsidRPr="00F719EE">
        <w:rPr>
          <w:lang w:val="en-US"/>
        </w:rPr>
        <w:fldChar w:fldCharType="begin"/>
      </w:r>
      <w:r w:rsidRPr="00F719EE">
        <w:rPr>
          <w:lang w:val="en-US"/>
        </w:rPr>
        <w:instrText xml:space="preserve"> ADDIN ZOTERO_ITEM CSL_CITATION {"citationID":"Uf9WBT5d","properties":{"formattedCitation":"[44]","plainCitation":"[44]","noteIndex":0},"citationItems":[{"id":1982,"uris":["http://zotero.org/users/16450004/items/4W64QHCN"],"itemData":{"id":1982,"type":"document","title":"Plastics – Determination of tensile properties – Part 2: Test conditions for moulding and extrusion plastics (ISO 527-2:2012); German version EN ISO 527-2:2012","author":[{"literal":"DIN"}],"issued":{"date-parts":[["2012",6]]}}}],"schema":"https://github.com/citation-style-language/schema/raw/master/csl-citation.json"} </w:instrText>
      </w:r>
      <w:r w:rsidRPr="00F719EE">
        <w:rPr>
          <w:lang w:val="en-US"/>
        </w:rPr>
        <w:fldChar w:fldCharType="separate"/>
      </w:r>
      <w:r w:rsidRPr="00F719EE">
        <w:rPr>
          <w:lang w:val="en-US"/>
        </w:rPr>
        <w:t>[44]</w:t>
      </w:r>
      <w:r w:rsidRPr="00F719EE">
        <w:fldChar w:fldCharType="end"/>
      </w:r>
      <w:r w:rsidRPr="00F719EE">
        <w:rPr>
          <w:lang w:val="en-US"/>
        </w:rPr>
        <w:t>.</w:t>
      </w:r>
    </w:p>
    <w:tbl>
      <w:tblPr>
        <w:tblStyle w:val="RTe"/>
        <w:tblW w:w="9011" w:type="dxa"/>
        <w:tblLayout w:type="fixed"/>
        <w:tblLook w:val="0000" w:firstRow="0" w:lastRow="0" w:firstColumn="0" w:lastColumn="0" w:noHBand="0" w:noVBand="0"/>
      </w:tblPr>
      <w:tblGrid>
        <w:gridCol w:w="1429"/>
        <w:gridCol w:w="4943"/>
        <w:gridCol w:w="2639"/>
      </w:tblGrid>
      <w:tr w:rsidR="00D36C4A" w:rsidRPr="00F719EE" w14:paraId="4920B0F6" w14:textId="77777777" w:rsidTr="00EE22B3">
        <w:trPr>
          <w:trHeight w:val="134"/>
        </w:trPr>
        <w:tc>
          <w:tcPr>
            <w:tcW w:w="1429" w:type="dxa"/>
            <w:shd w:val="clear" w:color="auto" w:fill="E8E6E6"/>
            <w:vAlign w:val="center"/>
          </w:tcPr>
          <w:p w14:paraId="091FD1EA" w14:textId="77777777" w:rsidR="00F719EE" w:rsidRPr="00D36C4A" w:rsidRDefault="00F719EE" w:rsidP="00EE22B3">
            <w:pPr>
              <w:pStyle w:val="Heading10"/>
              <w:spacing w:before="0" w:after="0"/>
              <w:rPr>
                <w:sz w:val="20"/>
                <w:szCs w:val="20"/>
                <w:lang w:val="en-US"/>
              </w:rPr>
            </w:pPr>
            <w:r w:rsidRPr="00D36C4A">
              <w:rPr>
                <w:sz w:val="20"/>
                <w:szCs w:val="20"/>
                <w:lang w:val="en-US"/>
              </w:rPr>
              <w:t>Symbol</w:t>
            </w:r>
          </w:p>
        </w:tc>
        <w:tc>
          <w:tcPr>
            <w:tcW w:w="4943" w:type="dxa"/>
            <w:shd w:val="clear" w:color="auto" w:fill="E8E6E6"/>
            <w:vAlign w:val="center"/>
          </w:tcPr>
          <w:p w14:paraId="24C4A13A" w14:textId="77777777" w:rsidR="00F719EE" w:rsidRPr="00D36C4A" w:rsidRDefault="00F719EE" w:rsidP="00EE22B3">
            <w:pPr>
              <w:pStyle w:val="Heading10"/>
              <w:spacing w:before="0" w:after="0"/>
              <w:rPr>
                <w:sz w:val="20"/>
                <w:szCs w:val="20"/>
                <w:lang w:val="en-US"/>
              </w:rPr>
            </w:pPr>
            <w:r w:rsidRPr="00D36C4A">
              <w:rPr>
                <w:sz w:val="20"/>
                <w:szCs w:val="20"/>
                <w:lang w:val="en-US"/>
              </w:rPr>
              <w:t>Characteristics</w:t>
            </w:r>
          </w:p>
        </w:tc>
        <w:tc>
          <w:tcPr>
            <w:tcW w:w="2639" w:type="dxa"/>
            <w:shd w:val="clear" w:color="auto" w:fill="E8E6E6"/>
            <w:vAlign w:val="center"/>
          </w:tcPr>
          <w:p w14:paraId="2669EFC9" w14:textId="77777777" w:rsidR="00F719EE" w:rsidRPr="00D36C4A" w:rsidRDefault="00F719EE" w:rsidP="00EE22B3">
            <w:pPr>
              <w:pStyle w:val="Heading10"/>
              <w:spacing w:before="0" w:after="0"/>
              <w:rPr>
                <w:sz w:val="20"/>
                <w:szCs w:val="20"/>
                <w:lang w:val="en-US"/>
              </w:rPr>
            </w:pPr>
            <w:r w:rsidRPr="00D36C4A">
              <w:rPr>
                <w:sz w:val="20"/>
                <w:szCs w:val="20"/>
                <w:lang w:val="en-US"/>
              </w:rPr>
              <w:t>Value</w:t>
            </w:r>
          </w:p>
        </w:tc>
      </w:tr>
      <w:tr w:rsidR="00D36C4A" w:rsidRPr="00F719EE" w14:paraId="44123BD6" w14:textId="77777777" w:rsidTr="00EE22B3">
        <w:trPr>
          <w:trHeight w:val="84"/>
        </w:trPr>
        <w:tc>
          <w:tcPr>
            <w:tcW w:w="1429" w:type="dxa"/>
            <w:shd w:val="clear" w:color="auto" w:fill="E8E6E6"/>
          </w:tcPr>
          <w:p w14:paraId="06319707" w14:textId="77777777" w:rsidR="00F719EE" w:rsidRPr="00F719EE" w:rsidRDefault="00F719EE" w:rsidP="00EE22B3">
            <w:pPr>
              <w:rPr>
                <w:b/>
                <w:bCs/>
                <w:vertAlign w:val="subscript"/>
                <w:lang w:val="en-US"/>
              </w:rPr>
            </w:pPr>
            <w:r w:rsidRPr="00F719EE">
              <w:rPr>
                <w:b/>
                <w:bCs/>
                <w:lang w:val="en-US"/>
              </w:rPr>
              <w:t>l</w:t>
            </w:r>
            <w:r w:rsidRPr="00F719EE">
              <w:rPr>
                <w:b/>
                <w:bCs/>
                <w:vertAlign w:val="subscript"/>
                <w:lang w:val="en-US"/>
              </w:rPr>
              <w:t>3</w:t>
            </w:r>
          </w:p>
        </w:tc>
        <w:tc>
          <w:tcPr>
            <w:tcW w:w="4943" w:type="dxa"/>
          </w:tcPr>
          <w:p w14:paraId="377B89DC" w14:textId="77777777" w:rsidR="00F719EE" w:rsidRPr="00F719EE" w:rsidRDefault="00F719EE" w:rsidP="00EE22B3">
            <w:pPr>
              <w:rPr>
                <w:lang w:val="en-US"/>
              </w:rPr>
            </w:pPr>
            <w:r w:rsidRPr="00F719EE">
              <w:rPr>
                <w:lang w:val="en-US"/>
              </w:rPr>
              <w:t>Total length</w:t>
            </w:r>
          </w:p>
        </w:tc>
        <w:tc>
          <w:tcPr>
            <w:tcW w:w="2639" w:type="dxa"/>
          </w:tcPr>
          <w:p w14:paraId="19649E1B" w14:textId="77777777" w:rsidR="00F719EE" w:rsidRPr="00F719EE" w:rsidRDefault="00F719EE" w:rsidP="00EE22B3">
            <w:pPr>
              <w:rPr>
                <w:lang w:val="en-US"/>
              </w:rPr>
            </w:pPr>
            <w:r w:rsidRPr="00F719EE">
              <w:rPr>
                <w:lang w:val="en-US"/>
              </w:rPr>
              <w:t>170 mm</w:t>
            </w:r>
          </w:p>
        </w:tc>
      </w:tr>
      <w:tr w:rsidR="00D36C4A" w:rsidRPr="00F719EE" w14:paraId="70E2585C" w14:textId="77777777" w:rsidTr="00EE22B3">
        <w:trPr>
          <w:trHeight w:val="84"/>
        </w:trPr>
        <w:tc>
          <w:tcPr>
            <w:tcW w:w="1429" w:type="dxa"/>
            <w:shd w:val="clear" w:color="auto" w:fill="E8E6E6"/>
          </w:tcPr>
          <w:p w14:paraId="0A8E6C45" w14:textId="77777777" w:rsidR="00F719EE" w:rsidRPr="00F719EE" w:rsidRDefault="00F719EE" w:rsidP="00EE22B3">
            <w:pPr>
              <w:rPr>
                <w:b/>
                <w:bCs/>
                <w:vertAlign w:val="subscript"/>
                <w:lang w:val="en-US"/>
              </w:rPr>
            </w:pPr>
            <w:r w:rsidRPr="00F719EE">
              <w:rPr>
                <w:b/>
                <w:bCs/>
                <w:lang w:val="en-US"/>
              </w:rPr>
              <w:t>l</w:t>
            </w:r>
            <w:r w:rsidRPr="00F719EE">
              <w:rPr>
                <w:b/>
                <w:bCs/>
                <w:vertAlign w:val="subscript"/>
                <w:lang w:val="en-US"/>
              </w:rPr>
              <w:t>1</w:t>
            </w:r>
          </w:p>
        </w:tc>
        <w:tc>
          <w:tcPr>
            <w:tcW w:w="4943" w:type="dxa"/>
          </w:tcPr>
          <w:p w14:paraId="14DC3948" w14:textId="77777777" w:rsidR="00F719EE" w:rsidRPr="00F719EE" w:rsidRDefault="00F719EE" w:rsidP="00EE22B3">
            <w:pPr>
              <w:rPr>
                <w:lang w:val="en-US"/>
              </w:rPr>
            </w:pPr>
            <w:r w:rsidRPr="00F719EE">
              <w:rPr>
                <w:lang w:val="en-US"/>
              </w:rPr>
              <w:t>Length of the narrow parallel part</w:t>
            </w:r>
          </w:p>
        </w:tc>
        <w:tc>
          <w:tcPr>
            <w:tcW w:w="2639" w:type="dxa"/>
          </w:tcPr>
          <w:p w14:paraId="5F8E4B0F" w14:textId="77777777" w:rsidR="00F719EE" w:rsidRPr="00F719EE" w:rsidRDefault="00F719EE" w:rsidP="00EE22B3">
            <w:pPr>
              <w:rPr>
                <w:lang w:val="en-US"/>
              </w:rPr>
            </w:pPr>
            <w:r w:rsidRPr="00F719EE">
              <w:rPr>
                <w:lang w:val="en-US"/>
              </w:rPr>
              <w:t>80 ± 2 mm</w:t>
            </w:r>
          </w:p>
        </w:tc>
      </w:tr>
      <w:tr w:rsidR="00D36C4A" w:rsidRPr="00F719EE" w14:paraId="6DCB6A5E" w14:textId="77777777" w:rsidTr="00EE22B3">
        <w:trPr>
          <w:trHeight w:val="233"/>
        </w:trPr>
        <w:tc>
          <w:tcPr>
            <w:tcW w:w="1429" w:type="dxa"/>
            <w:shd w:val="clear" w:color="auto" w:fill="E8E6E6"/>
          </w:tcPr>
          <w:p w14:paraId="3664C06D" w14:textId="77777777" w:rsidR="00F719EE" w:rsidRPr="00F719EE" w:rsidRDefault="00F719EE" w:rsidP="00EE22B3">
            <w:pPr>
              <w:rPr>
                <w:b/>
                <w:bCs/>
                <w:lang w:val="en-US"/>
              </w:rPr>
            </w:pPr>
            <w:r w:rsidRPr="00F719EE">
              <w:rPr>
                <w:b/>
                <w:bCs/>
                <w:lang w:val="en-US"/>
              </w:rPr>
              <w:t>r</w:t>
            </w:r>
          </w:p>
        </w:tc>
        <w:tc>
          <w:tcPr>
            <w:tcW w:w="4943" w:type="dxa"/>
          </w:tcPr>
          <w:p w14:paraId="5236EAF1" w14:textId="77777777" w:rsidR="00F719EE" w:rsidRPr="00F719EE" w:rsidRDefault="00F719EE" w:rsidP="00EE22B3">
            <w:pPr>
              <w:rPr>
                <w:lang w:val="en-US"/>
              </w:rPr>
            </w:pPr>
            <w:r w:rsidRPr="00F719EE">
              <w:rPr>
                <w:lang w:val="en-US"/>
              </w:rPr>
              <w:t>Radius</w:t>
            </w:r>
          </w:p>
        </w:tc>
        <w:tc>
          <w:tcPr>
            <w:tcW w:w="2639" w:type="dxa"/>
          </w:tcPr>
          <w:p w14:paraId="1FDFF51F" w14:textId="77777777" w:rsidR="00F719EE" w:rsidRPr="00F719EE" w:rsidRDefault="00F719EE" w:rsidP="00EE22B3">
            <w:pPr>
              <w:rPr>
                <w:lang w:val="en-US"/>
              </w:rPr>
            </w:pPr>
            <w:r w:rsidRPr="00F719EE">
              <w:rPr>
                <w:lang w:val="en-US"/>
              </w:rPr>
              <w:t>24 ± 1 mm</w:t>
            </w:r>
          </w:p>
        </w:tc>
      </w:tr>
      <w:tr w:rsidR="00D36C4A" w:rsidRPr="00F719EE" w14:paraId="220E60EB" w14:textId="77777777" w:rsidTr="00EE22B3">
        <w:trPr>
          <w:trHeight w:val="84"/>
        </w:trPr>
        <w:tc>
          <w:tcPr>
            <w:tcW w:w="1429" w:type="dxa"/>
            <w:shd w:val="clear" w:color="auto" w:fill="E8E6E6"/>
          </w:tcPr>
          <w:p w14:paraId="2FBC9C9F" w14:textId="77777777" w:rsidR="00F719EE" w:rsidRPr="00F719EE" w:rsidRDefault="00F719EE" w:rsidP="00EE22B3">
            <w:pPr>
              <w:rPr>
                <w:b/>
                <w:bCs/>
                <w:vertAlign w:val="subscript"/>
                <w:lang w:val="en-US"/>
              </w:rPr>
            </w:pPr>
            <w:r w:rsidRPr="00F719EE">
              <w:rPr>
                <w:b/>
                <w:bCs/>
                <w:lang w:val="en-US"/>
              </w:rPr>
              <w:t>l</w:t>
            </w:r>
            <w:r w:rsidRPr="00F719EE">
              <w:rPr>
                <w:b/>
                <w:bCs/>
                <w:vertAlign w:val="subscript"/>
                <w:lang w:val="en-US"/>
              </w:rPr>
              <w:t>2</w:t>
            </w:r>
          </w:p>
        </w:tc>
        <w:tc>
          <w:tcPr>
            <w:tcW w:w="4943" w:type="dxa"/>
          </w:tcPr>
          <w:p w14:paraId="71D15EFE" w14:textId="77777777" w:rsidR="00F719EE" w:rsidRPr="00F719EE" w:rsidRDefault="00F719EE" w:rsidP="00EE22B3">
            <w:pPr>
              <w:rPr>
                <w:lang w:val="en-US"/>
              </w:rPr>
            </w:pPr>
            <w:r w:rsidRPr="00F719EE">
              <w:rPr>
                <w:lang w:val="en-US"/>
              </w:rPr>
              <w:t>Distance between the wide parallel sides</w:t>
            </w:r>
          </w:p>
        </w:tc>
        <w:tc>
          <w:tcPr>
            <w:tcW w:w="2639" w:type="dxa"/>
          </w:tcPr>
          <w:p w14:paraId="0836314F" w14:textId="77777777" w:rsidR="00F719EE" w:rsidRPr="00F719EE" w:rsidRDefault="00F719EE" w:rsidP="00EE22B3">
            <w:pPr>
              <w:rPr>
                <w:lang w:val="en-US"/>
              </w:rPr>
            </w:pPr>
            <w:r w:rsidRPr="00F719EE">
              <w:rPr>
                <w:lang w:val="en-US"/>
              </w:rPr>
              <w:t>109,3 ± 3,2 mm</w:t>
            </w:r>
          </w:p>
        </w:tc>
      </w:tr>
      <w:tr w:rsidR="00D36C4A" w:rsidRPr="00F719EE" w14:paraId="44E9F368" w14:textId="77777777" w:rsidTr="00EE22B3">
        <w:trPr>
          <w:trHeight w:val="84"/>
        </w:trPr>
        <w:tc>
          <w:tcPr>
            <w:tcW w:w="1429" w:type="dxa"/>
            <w:shd w:val="clear" w:color="auto" w:fill="E8E6E6"/>
          </w:tcPr>
          <w:p w14:paraId="1CA8DA36" w14:textId="77777777" w:rsidR="00F719EE" w:rsidRPr="00F719EE" w:rsidRDefault="00F719EE" w:rsidP="00EE22B3">
            <w:pPr>
              <w:rPr>
                <w:b/>
                <w:bCs/>
                <w:vertAlign w:val="subscript"/>
                <w:lang w:val="en-US"/>
              </w:rPr>
            </w:pPr>
            <w:r w:rsidRPr="00F719EE">
              <w:rPr>
                <w:b/>
                <w:bCs/>
                <w:lang w:val="en-US"/>
              </w:rPr>
              <w:lastRenderedPageBreak/>
              <w:t>b</w:t>
            </w:r>
            <w:r w:rsidRPr="00F719EE">
              <w:rPr>
                <w:b/>
                <w:bCs/>
                <w:vertAlign w:val="subscript"/>
                <w:lang w:val="en-US"/>
              </w:rPr>
              <w:t>2</w:t>
            </w:r>
          </w:p>
        </w:tc>
        <w:tc>
          <w:tcPr>
            <w:tcW w:w="4943" w:type="dxa"/>
          </w:tcPr>
          <w:p w14:paraId="14C7FDFF" w14:textId="77777777" w:rsidR="00F719EE" w:rsidRPr="00F719EE" w:rsidRDefault="00F719EE" w:rsidP="00EE22B3">
            <w:pPr>
              <w:rPr>
                <w:lang w:val="en-US"/>
              </w:rPr>
            </w:pPr>
            <w:r w:rsidRPr="00F719EE">
              <w:rPr>
                <w:lang w:val="en-US"/>
              </w:rPr>
              <w:t>Width at the ends</w:t>
            </w:r>
          </w:p>
        </w:tc>
        <w:tc>
          <w:tcPr>
            <w:tcW w:w="2639" w:type="dxa"/>
          </w:tcPr>
          <w:p w14:paraId="5767D1D6" w14:textId="77777777" w:rsidR="00F719EE" w:rsidRPr="00F719EE" w:rsidRDefault="00F719EE" w:rsidP="00EE22B3">
            <w:pPr>
              <w:rPr>
                <w:lang w:val="en-US"/>
              </w:rPr>
            </w:pPr>
            <w:r w:rsidRPr="00F719EE">
              <w:rPr>
                <w:lang w:val="en-US"/>
              </w:rPr>
              <w:t>20,0 ± 0,2 mm</w:t>
            </w:r>
          </w:p>
        </w:tc>
      </w:tr>
      <w:tr w:rsidR="00D36C4A" w:rsidRPr="00F719EE" w14:paraId="136F4172" w14:textId="77777777" w:rsidTr="00EE22B3">
        <w:trPr>
          <w:trHeight w:val="84"/>
        </w:trPr>
        <w:tc>
          <w:tcPr>
            <w:tcW w:w="1429" w:type="dxa"/>
            <w:shd w:val="clear" w:color="auto" w:fill="E8E6E6"/>
          </w:tcPr>
          <w:p w14:paraId="5E2BAF80" w14:textId="77777777" w:rsidR="00F719EE" w:rsidRPr="00F719EE" w:rsidRDefault="00F719EE" w:rsidP="00EE22B3">
            <w:pPr>
              <w:rPr>
                <w:b/>
                <w:bCs/>
                <w:vertAlign w:val="subscript"/>
                <w:lang w:val="en-US"/>
              </w:rPr>
            </w:pPr>
            <w:r w:rsidRPr="00F719EE">
              <w:rPr>
                <w:b/>
                <w:bCs/>
                <w:lang w:val="en-US"/>
              </w:rPr>
              <w:t>b</w:t>
            </w:r>
            <w:r w:rsidRPr="00F719EE">
              <w:rPr>
                <w:b/>
                <w:bCs/>
                <w:vertAlign w:val="subscript"/>
                <w:lang w:val="en-US"/>
              </w:rPr>
              <w:t>1</w:t>
            </w:r>
          </w:p>
        </w:tc>
        <w:tc>
          <w:tcPr>
            <w:tcW w:w="4943" w:type="dxa"/>
          </w:tcPr>
          <w:p w14:paraId="4CF8AFB8" w14:textId="77777777" w:rsidR="00F719EE" w:rsidRPr="00F719EE" w:rsidRDefault="00F719EE" w:rsidP="00EE22B3">
            <w:pPr>
              <w:rPr>
                <w:lang w:val="en-US"/>
              </w:rPr>
            </w:pPr>
            <w:r w:rsidRPr="00F719EE">
              <w:rPr>
                <w:lang w:val="en-US"/>
              </w:rPr>
              <w:t>Width of the narrow part</w:t>
            </w:r>
          </w:p>
        </w:tc>
        <w:tc>
          <w:tcPr>
            <w:tcW w:w="2639" w:type="dxa"/>
          </w:tcPr>
          <w:p w14:paraId="7B7A0719" w14:textId="77777777" w:rsidR="00F719EE" w:rsidRPr="00F719EE" w:rsidRDefault="00F719EE" w:rsidP="00EE22B3">
            <w:pPr>
              <w:rPr>
                <w:lang w:val="en-US"/>
              </w:rPr>
            </w:pPr>
            <w:r w:rsidRPr="00F719EE">
              <w:rPr>
                <w:lang w:val="en-US"/>
              </w:rPr>
              <w:t>10,0 ± 0,2 mm</w:t>
            </w:r>
          </w:p>
        </w:tc>
      </w:tr>
      <w:tr w:rsidR="00D36C4A" w:rsidRPr="00F719EE" w14:paraId="7FDC5DF4" w14:textId="77777777" w:rsidTr="00EE22B3">
        <w:trPr>
          <w:trHeight w:val="152"/>
        </w:trPr>
        <w:tc>
          <w:tcPr>
            <w:tcW w:w="1429" w:type="dxa"/>
            <w:shd w:val="clear" w:color="auto" w:fill="E8E6E6"/>
          </w:tcPr>
          <w:p w14:paraId="2E2E7387" w14:textId="77777777" w:rsidR="00F719EE" w:rsidRPr="00F719EE" w:rsidRDefault="00F719EE" w:rsidP="00EE22B3">
            <w:pPr>
              <w:rPr>
                <w:b/>
                <w:bCs/>
                <w:lang w:val="en-US"/>
              </w:rPr>
            </w:pPr>
            <w:r w:rsidRPr="00F719EE">
              <w:rPr>
                <w:b/>
                <w:bCs/>
                <w:lang w:val="en-US"/>
              </w:rPr>
              <w:t>h</w:t>
            </w:r>
          </w:p>
        </w:tc>
        <w:tc>
          <w:tcPr>
            <w:tcW w:w="4943" w:type="dxa"/>
          </w:tcPr>
          <w:p w14:paraId="4712D5F6" w14:textId="77777777" w:rsidR="00F719EE" w:rsidRPr="00F719EE" w:rsidRDefault="00F719EE" w:rsidP="00EE22B3">
            <w:pPr>
              <w:rPr>
                <w:lang w:val="en-US"/>
              </w:rPr>
            </w:pPr>
            <w:r w:rsidRPr="00F719EE">
              <w:rPr>
                <w:lang w:val="en-US"/>
              </w:rPr>
              <w:t>Preferred thickness</w:t>
            </w:r>
          </w:p>
        </w:tc>
        <w:tc>
          <w:tcPr>
            <w:tcW w:w="2639" w:type="dxa"/>
          </w:tcPr>
          <w:p w14:paraId="38A728FE" w14:textId="77777777" w:rsidR="00F719EE" w:rsidRPr="00F719EE" w:rsidRDefault="00F719EE" w:rsidP="00EE22B3">
            <w:pPr>
              <w:rPr>
                <w:lang w:val="en-US"/>
              </w:rPr>
            </w:pPr>
            <w:r w:rsidRPr="00F719EE">
              <w:rPr>
                <w:lang w:val="en-US"/>
              </w:rPr>
              <w:t>4,0 ± 0,2 mm</w:t>
            </w:r>
          </w:p>
        </w:tc>
      </w:tr>
      <w:tr w:rsidR="00D36C4A" w:rsidRPr="00F719EE" w14:paraId="369B3F01" w14:textId="77777777" w:rsidTr="00EE22B3">
        <w:trPr>
          <w:trHeight w:val="84"/>
        </w:trPr>
        <w:tc>
          <w:tcPr>
            <w:tcW w:w="1429" w:type="dxa"/>
            <w:shd w:val="clear" w:color="auto" w:fill="E8E6E6"/>
          </w:tcPr>
          <w:p w14:paraId="440D56FF" w14:textId="77777777" w:rsidR="00F719EE" w:rsidRPr="00F719EE" w:rsidRDefault="00F719EE" w:rsidP="00EE22B3">
            <w:pPr>
              <w:rPr>
                <w:b/>
                <w:bCs/>
                <w:vertAlign w:val="subscript"/>
                <w:lang w:val="en-US"/>
              </w:rPr>
            </w:pPr>
            <w:r w:rsidRPr="00F719EE">
              <w:rPr>
                <w:b/>
                <w:bCs/>
                <w:lang w:val="en-US"/>
              </w:rPr>
              <w:t>L</w:t>
            </w:r>
            <w:r w:rsidRPr="00F719EE">
              <w:rPr>
                <w:b/>
                <w:bCs/>
                <w:vertAlign w:val="subscript"/>
                <w:lang w:val="en-US"/>
              </w:rPr>
              <w:t>0</w:t>
            </w:r>
          </w:p>
        </w:tc>
        <w:tc>
          <w:tcPr>
            <w:tcW w:w="4943" w:type="dxa"/>
          </w:tcPr>
          <w:p w14:paraId="4ECF4A21" w14:textId="77777777" w:rsidR="00F719EE" w:rsidRPr="00F719EE" w:rsidRDefault="00F719EE" w:rsidP="00EE22B3">
            <w:pPr>
              <w:rPr>
                <w:lang w:val="en-US"/>
              </w:rPr>
            </w:pPr>
            <w:r w:rsidRPr="00F719EE">
              <w:rPr>
                <w:lang w:val="en-US"/>
              </w:rPr>
              <w:t>Measuring length</w:t>
            </w:r>
          </w:p>
        </w:tc>
        <w:tc>
          <w:tcPr>
            <w:tcW w:w="2639" w:type="dxa"/>
          </w:tcPr>
          <w:p w14:paraId="015BB77F" w14:textId="77777777" w:rsidR="00F719EE" w:rsidRPr="00F719EE" w:rsidRDefault="00F719EE" w:rsidP="00EE22B3">
            <w:pPr>
              <w:rPr>
                <w:lang w:val="en-US"/>
              </w:rPr>
            </w:pPr>
            <w:r w:rsidRPr="00F719EE">
              <w:rPr>
                <w:lang w:val="en-US"/>
              </w:rPr>
              <w:t>75,0 ± 0,5 mm</w:t>
            </w:r>
          </w:p>
        </w:tc>
      </w:tr>
      <w:tr w:rsidR="00D36C4A" w:rsidRPr="00F719EE" w14:paraId="50989279" w14:textId="77777777" w:rsidTr="00EE22B3">
        <w:trPr>
          <w:trHeight w:val="84"/>
        </w:trPr>
        <w:tc>
          <w:tcPr>
            <w:tcW w:w="1429" w:type="dxa"/>
            <w:shd w:val="clear" w:color="auto" w:fill="E8E6E6"/>
          </w:tcPr>
          <w:p w14:paraId="7CCCE838" w14:textId="77777777" w:rsidR="00F719EE" w:rsidRPr="00F719EE" w:rsidRDefault="00F719EE" w:rsidP="00EE22B3">
            <w:pPr>
              <w:rPr>
                <w:b/>
                <w:bCs/>
                <w:lang w:val="en-US"/>
              </w:rPr>
            </w:pPr>
            <w:r w:rsidRPr="00F719EE">
              <w:rPr>
                <w:b/>
                <w:bCs/>
                <w:lang w:val="en-US"/>
              </w:rPr>
              <w:t>L</w:t>
            </w:r>
          </w:p>
        </w:tc>
        <w:tc>
          <w:tcPr>
            <w:tcW w:w="4943" w:type="dxa"/>
          </w:tcPr>
          <w:p w14:paraId="5BF5B65C" w14:textId="77777777" w:rsidR="00F719EE" w:rsidRPr="00F719EE" w:rsidRDefault="00F719EE" w:rsidP="00EE22B3">
            <w:pPr>
              <w:rPr>
                <w:lang w:val="en-US"/>
              </w:rPr>
            </w:pPr>
            <w:r w:rsidRPr="00F719EE">
              <w:rPr>
                <w:lang w:val="en-US"/>
              </w:rPr>
              <w:t>Initial spacing of the terminals</w:t>
            </w:r>
          </w:p>
        </w:tc>
        <w:tc>
          <w:tcPr>
            <w:tcW w:w="2639" w:type="dxa"/>
          </w:tcPr>
          <w:p w14:paraId="7C61D796" w14:textId="77777777" w:rsidR="00F719EE" w:rsidRPr="00F719EE" w:rsidRDefault="00F719EE" w:rsidP="00EE22B3">
            <w:pPr>
              <w:rPr>
                <w:lang w:val="en-US"/>
              </w:rPr>
            </w:pPr>
            <w:r w:rsidRPr="00F719EE">
              <w:rPr>
                <w:lang w:val="en-US"/>
              </w:rPr>
              <w:t>115 ± 1 mm</w:t>
            </w:r>
          </w:p>
        </w:tc>
      </w:tr>
    </w:tbl>
    <w:p w14:paraId="49FFBF5C" w14:textId="6EC08650" w:rsidR="00F719EE" w:rsidRPr="00F719EE" w:rsidRDefault="00F719EE" w:rsidP="00EE22B3">
      <w:pPr>
        <w:spacing w:before="240"/>
        <w:rPr>
          <w:lang w:val="en-US"/>
        </w:rPr>
      </w:pPr>
      <w:r w:rsidRPr="00F719EE">
        <w:rPr>
          <w:lang w:val="en-US"/>
        </w:rPr>
        <w:t xml:space="preserve">A preliminary parameter study was conducted to define a standard print job. Four print jobs were executed using identical PA12 filament while varying infill density and infill pattern, identified as key parameters influencing mechanical performance in MEX </w:t>
      </w:r>
      <w:r w:rsidRPr="00F719EE">
        <w:rPr>
          <w:lang w:val="en-US"/>
        </w:rPr>
        <w:fldChar w:fldCharType="begin"/>
      </w:r>
      <w:r w:rsidRPr="00F719EE">
        <w:rPr>
          <w:lang w:val="en-US"/>
        </w:rPr>
        <w:instrText xml:space="preserve"> ADDIN ZOTERO_ITEM CSL_CITATION {"citationID":"N2H9CHyQ","properties":{"formattedCitation":"[46]","plainCitation":"[46]","noteIndex":0},"citationItems":[{"id":1989,"uris":["http://zotero.org/users/16450004/items/3LCS28KM"],"itemData":{"id":1989,"type":"article-journal","container-title":"IOP Conference Series: Materials Science and Engineering","DOI":"10.1088/1757-899X/227/1/012033","title":"The influence of printing parameters on selected mechanical properties of FDM/FFF 3D-printed parts","volume":"227","author":[{"family":"Ćwikła","given":"Grzegorz"},{"family":"Grabowik","given":"Cezary"},{"family":"Kalinowski","given":"Krzysztof"},{"family":"Paprocka","given":"Iwona"},{"family":"Ociepka","given":"Piotr"}],"issued":{"date-parts":[["2017",8]]}}}],"schema":"https://github.com/citation-style-language/schema/raw/master/csl-citation.json"} </w:instrText>
      </w:r>
      <w:r w:rsidRPr="00F719EE">
        <w:rPr>
          <w:lang w:val="en-US"/>
        </w:rPr>
        <w:fldChar w:fldCharType="separate"/>
      </w:r>
      <w:r w:rsidRPr="00F719EE">
        <w:rPr>
          <w:lang w:val="en-US"/>
        </w:rPr>
        <w:t>[46]</w:t>
      </w:r>
      <w:r w:rsidRPr="00F719EE">
        <w:fldChar w:fldCharType="end"/>
      </w:r>
      <w:r w:rsidRPr="00F719EE">
        <w:rPr>
          <w:lang w:val="en-US"/>
        </w:rPr>
        <w:t xml:space="preserve">. Filament was dried at 80 °C for at least three hours prior to printing to mitigate moisture effects </w:t>
      </w:r>
      <w:r w:rsidRPr="00F719EE">
        <w:rPr>
          <w:lang w:val="en-US"/>
        </w:rPr>
        <w:fldChar w:fldCharType="begin"/>
      </w:r>
      <w:r w:rsidRPr="00F719EE">
        <w:rPr>
          <w:lang w:val="en-US"/>
        </w:rPr>
        <w:instrText xml:space="preserve"> ADDIN ZOTERO_ITEM CSL_CITATION {"citationID":"3svlDXf9","properties":{"formattedCitation":"[47]","plainCitation":"[47]","noteIndex":0},"citationItems":[{"id":1990,"uris":["http://zotero.org/users/16450004/items/6GMFRAKR"],"itemData":{"id":1990,"type":"article-journal","container-title":"Materials (Basel, Switzerland)","DOI":"10.3390/ma13194414","title":"Effects of Environmental Temperature and Humidity on the Geometry and Strength of Polycarbonate Specimens Prepared by Fused Filament Fabrication","volume":"13","author":[{"family":"Fang","given":"Lichen"},{"family":"Yan","given":"Yishu"},{"family":"Agarwal","given":"Ojaswi"},{"family":"Yao","given":"Shengyu"},{"family":"Seppala","given":"Jonathan"},{"family":"Kang","given":"Sung"}],"issued":{"date-parts":[["2020",10]]}}}],"schema":"https://github.com/citation-style-language/schema/raw/master/csl-citation.json"} </w:instrText>
      </w:r>
      <w:r w:rsidRPr="00F719EE">
        <w:rPr>
          <w:lang w:val="en-US"/>
        </w:rPr>
        <w:fldChar w:fldCharType="separate"/>
      </w:r>
      <w:r w:rsidRPr="00F719EE">
        <w:rPr>
          <w:lang w:val="en-US"/>
        </w:rPr>
        <w:t>[47]</w:t>
      </w:r>
      <w:r w:rsidRPr="00F719EE">
        <w:fldChar w:fldCharType="end"/>
      </w:r>
      <w:r w:rsidRPr="00F719EE">
        <w:rPr>
          <w:lang w:val="en-US"/>
        </w:rPr>
        <w:t>. Eleven specimens per job were tested, and tensile strength and elongation at break were evaluated (Figure 7). Tensile testing was conducted under controlled environmental conditions (22 °C, 50% Relative Humidity) using an in-house testing machine (Figure 8). The configuration with 100% infill density and a 45°-line pattern yielded the highest mechanical performance and was selected for subsequent validation. For the official printing process of the different filaments obtained from the remaining recycling pathways, five specimens per job were printed (Figure 9).</w:t>
      </w:r>
    </w:p>
    <w:p w14:paraId="735CF626" w14:textId="77777777" w:rsidR="00F719EE" w:rsidRPr="00F719EE" w:rsidRDefault="00F719EE" w:rsidP="00637C41">
      <w:pPr>
        <w:jc w:val="center"/>
        <w:rPr>
          <w:lang w:val="en-US"/>
        </w:rPr>
      </w:pPr>
      <w:r w:rsidRPr="00F719EE">
        <w:rPr>
          <w:noProof/>
          <w:lang w:val="en-US"/>
        </w:rPr>
        <w:drawing>
          <wp:inline distT="0" distB="0" distL="0" distR="0" wp14:anchorId="1AF50B2B" wp14:editId="60D687A4">
            <wp:extent cx="3892058" cy="2919046"/>
            <wp:effectExtent l="0" t="0" r="0" b="2540"/>
            <wp:docPr id="931277314" name="Picture 1" descr="A diagram of different colors and siz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393386" name="Picture 1" descr="A diagram of different colors and sizes&#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3986314" cy="2989738"/>
                    </a:xfrm>
                    <a:prstGeom prst="rect">
                      <a:avLst/>
                    </a:prstGeom>
                  </pic:spPr>
                </pic:pic>
              </a:graphicData>
            </a:graphic>
          </wp:inline>
        </w:drawing>
      </w:r>
    </w:p>
    <w:p w14:paraId="565EF344" w14:textId="2F71AAA7" w:rsidR="00637C41" w:rsidRDefault="00637C41" w:rsidP="00637C41">
      <w:pPr>
        <w:pStyle w:val="Caption"/>
        <w:rPr>
          <w:lang w:val="en-US"/>
        </w:rPr>
      </w:pPr>
      <w:r w:rsidRPr="00637C41">
        <w:rPr>
          <w:lang w:val="en-US"/>
        </w:rPr>
        <w:t xml:space="preserve">Figure </w:t>
      </w:r>
      <w:r>
        <w:rPr>
          <w:lang w:val="en-US"/>
        </w:rPr>
        <w:t>7</w:t>
      </w:r>
      <w:r w:rsidRPr="00637C41">
        <w:rPr>
          <w:lang w:val="en-US"/>
        </w:rPr>
        <w:t xml:space="preserve">: </w:t>
      </w:r>
      <w:r w:rsidRPr="00F719EE">
        <w:rPr>
          <w:lang w:val="en-US"/>
        </w:rPr>
        <w:t>Elongation at break VS Tensile strength for PA12 filament with different infill characteristics. Picture by the author.</w:t>
      </w:r>
    </w:p>
    <w:p w14:paraId="7558000F" w14:textId="77777777" w:rsidR="00F719EE" w:rsidRPr="00F719EE" w:rsidRDefault="00F719EE" w:rsidP="00637C41">
      <w:pPr>
        <w:jc w:val="center"/>
        <w:rPr>
          <w:lang w:val="en-US"/>
        </w:rPr>
      </w:pPr>
      <w:r w:rsidRPr="00F719EE">
        <w:rPr>
          <w:noProof/>
          <w:lang w:val="en-US"/>
        </w:rPr>
        <w:drawing>
          <wp:inline distT="0" distB="0" distL="0" distR="0" wp14:anchorId="13914787" wp14:editId="4771D4CB">
            <wp:extent cx="2212157" cy="1660551"/>
            <wp:effectExtent l="0" t="0" r="0" b="0"/>
            <wp:docPr id="1193456777"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56777" name="Picture 1" descr="A close-up of a machine&#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2334095" cy="1752083"/>
                    </a:xfrm>
                    <a:prstGeom prst="rect">
                      <a:avLst/>
                    </a:prstGeom>
                  </pic:spPr>
                </pic:pic>
              </a:graphicData>
            </a:graphic>
          </wp:inline>
        </w:drawing>
      </w:r>
    </w:p>
    <w:p w14:paraId="4BDCE9F4" w14:textId="784D6E69" w:rsidR="00F719EE" w:rsidRPr="00F719EE" w:rsidRDefault="00637C41" w:rsidP="00637C41">
      <w:pPr>
        <w:pStyle w:val="Caption"/>
        <w:rPr>
          <w:lang w:val="en-US"/>
        </w:rPr>
      </w:pPr>
      <w:r w:rsidRPr="00637C41">
        <w:rPr>
          <w:lang w:val="en-US"/>
        </w:rPr>
        <w:t xml:space="preserve">Figure </w:t>
      </w:r>
      <w:r>
        <w:rPr>
          <w:lang w:val="en-US"/>
        </w:rPr>
        <w:t>8</w:t>
      </w:r>
      <w:r w:rsidRPr="00637C41">
        <w:rPr>
          <w:lang w:val="en-US"/>
        </w:rPr>
        <w:t>: Tensile testing machine adopted at the company's facility [48].</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6"/>
        <w:gridCol w:w="3705"/>
      </w:tblGrid>
      <w:tr w:rsidR="00637C41" w:rsidRPr="00F719EE" w14:paraId="203C666B" w14:textId="77777777" w:rsidTr="00BA4286">
        <w:tc>
          <w:tcPr>
            <w:tcW w:w="3299" w:type="dxa"/>
            <w:vAlign w:val="center"/>
          </w:tcPr>
          <w:p w14:paraId="75081459" w14:textId="77777777" w:rsidR="00F719EE" w:rsidRPr="00F719EE" w:rsidRDefault="00F719EE" w:rsidP="00637C41">
            <w:pPr>
              <w:jc w:val="center"/>
              <w:rPr>
                <w:lang w:val="en-US"/>
              </w:rPr>
            </w:pPr>
            <w:r w:rsidRPr="00F719EE">
              <w:rPr>
                <w:noProof/>
                <w:lang w:val="en-US"/>
              </w:rPr>
              <w:lastRenderedPageBreak/>
              <w:drawing>
                <wp:inline distT="0" distB="0" distL="0" distR="0" wp14:anchorId="74FD45E9" wp14:editId="1BD59873">
                  <wp:extent cx="3161646" cy="1593850"/>
                  <wp:effectExtent l="0" t="0" r="1270" b="0"/>
                  <wp:docPr id="1856359428" name="Picture 1" descr="A tray of food on a tr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359428" name="Picture 1" descr="A tray of food on a tray&#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3281975" cy="1654511"/>
                          </a:xfrm>
                          <a:prstGeom prst="rect">
                            <a:avLst/>
                          </a:prstGeom>
                        </pic:spPr>
                      </pic:pic>
                    </a:graphicData>
                  </a:graphic>
                </wp:inline>
              </w:drawing>
            </w:r>
          </w:p>
        </w:tc>
        <w:tc>
          <w:tcPr>
            <w:tcW w:w="3619" w:type="dxa"/>
            <w:vAlign w:val="center"/>
          </w:tcPr>
          <w:p w14:paraId="52018AF3" w14:textId="77777777" w:rsidR="00F719EE" w:rsidRPr="00F719EE" w:rsidRDefault="00F719EE" w:rsidP="00637C41">
            <w:pPr>
              <w:jc w:val="center"/>
              <w:rPr>
                <w:lang w:val="en-US"/>
              </w:rPr>
            </w:pPr>
            <w:r w:rsidRPr="00F719EE">
              <w:rPr>
                <w:noProof/>
                <w:lang w:val="en-US"/>
              </w:rPr>
              <w:drawing>
                <wp:inline distT="0" distB="0" distL="0" distR="0" wp14:anchorId="6976CD14" wp14:editId="2B952793">
                  <wp:extent cx="2215661" cy="1661527"/>
                  <wp:effectExtent l="0" t="0" r="0" b="2540"/>
                  <wp:docPr id="887539139" name="Picture 1" descr="A row of plastic spatulas with lab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39139" name="Picture 1" descr="A row of plastic spatulas with labels&#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2309441" cy="1731853"/>
                          </a:xfrm>
                          <a:prstGeom prst="rect">
                            <a:avLst/>
                          </a:prstGeom>
                        </pic:spPr>
                      </pic:pic>
                    </a:graphicData>
                  </a:graphic>
                </wp:inline>
              </w:drawing>
            </w:r>
          </w:p>
        </w:tc>
      </w:tr>
    </w:tbl>
    <w:p w14:paraId="1D7447E7" w14:textId="38D88F0A" w:rsidR="00637C41" w:rsidRPr="00F719EE" w:rsidRDefault="00637C41" w:rsidP="00637C41">
      <w:pPr>
        <w:pStyle w:val="Caption"/>
        <w:rPr>
          <w:lang w:val="en-US"/>
        </w:rPr>
      </w:pPr>
      <w:r w:rsidRPr="00637C41">
        <w:rPr>
          <w:lang w:val="en-US"/>
        </w:rPr>
        <w:t xml:space="preserve">Figure </w:t>
      </w:r>
      <w:r>
        <w:rPr>
          <w:lang w:val="en-US"/>
        </w:rPr>
        <w:t>9</w:t>
      </w:r>
      <w:r w:rsidRPr="00637C41">
        <w:rPr>
          <w:lang w:val="en-US"/>
        </w:rPr>
        <w:t xml:space="preserve">: </w:t>
      </w:r>
      <w:r w:rsidRPr="00F719EE">
        <w:rPr>
          <w:lang w:val="en-US"/>
        </w:rPr>
        <w:t xml:space="preserve">Material validation procedure: </w:t>
      </w:r>
      <w:r w:rsidRPr="00F719EE">
        <w:rPr>
          <w:b/>
          <w:bCs/>
          <w:lang w:val="en-US"/>
        </w:rPr>
        <w:t>(a)</w:t>
      </w:r>
      <w:r w:rsidRPr="00F719EE">
        <w:rPr>
          <w:lang w:val="en-US"/>
        </w:rPr>
        <w:t xml:space="preserve"> Standard print job (left) and </w:t>
      </w:r>
      <w:r w:rsidRPr="00F719EE">
        <w:rPr>
          <w:b/>
          <w:bCs/>
          <w:lang w:val="en-US"/>
        </w:rPr>
        <w:t>(b)</w:t>
      </w:r>
      <w:r w:rsidRPr="00F719EE">
        <w:rPr>
          <w:lang w:val="en-US"/>
        </w:rPr>
        <w:t xml:space="preserve"> Test specimens labeled after the print job (right). Picture by the author.</w:t>
      </w:r>
    </w:p>
    <w:p w14:paraId="470DEAFF" w14:textId="6DAB673D" w:rsidR="00F719EE" w:rsidRPr="00F719EE" w:rsidRDefault="00F719EE" w:rsidP="00F719EE">
      <w:pPr>
        <w:rPr>
          <w:lang w:val="en-US"/>
        </w:rPr>
      </w:pPr>
      <w:r w:rsidRPr="00F719EE">
        <w:rPr>
          <w:lang w:val="en-US"/>
        </w:rPr>
        <w:t>For the quantitative assessment, technical indicators were derived from experimental tensile testing results of recycled PA12 filaments, reflecting material stability and mechanical variability. Environmental and economic indicators were calculated using operational data in combination with literature-based energy and emission factors. Social indicators were calculated based on process-related parameters, interviews and surveys among the production employees. Following the quantitative assessment on the selected indicators, the B</w:t>
      </w:r>
      <w:r w:rsidR="00973A60">
        <w:rPr>
          <w:lang w:val="en-US"/>
        </w:rPr>
        <w:t>WM</w:t>
      </w:r>
      <w:r w:rsidRPr="00F719EE">
        <w:rPr>
          <w:lang w:val="en-US"/>
        </w:rPr>
        <w:t xml:space="preserve"> was applied across the dimensions to align the results with the company’s priorities. The results of the calculations obtained from the quantitative assessment and the B</w:t>
      </w:r>
      <w:r w:rsidR="00973A60">
        <w:rPr>
          <w:lang w:val="en-US"/>
        </w:rPr>
        <w:t>WM</w:t>
      </w:r>
      <w:r w:rsidRPr="00F719EE">
        <w:rPr>
          <w:lang w:val="en-US"/>
        </w:rPr>
        <w:t xml:space="preserve"> application are discussed immediately below.</w:t>
      </w:r>
    </w:p>
    <w:p w14:paraId="6514CA9C" w14:textId="77781D0C" w:rsidR="00F719EE" w:rsidRPr="00B95A8E" w:rsidRDefault="00F719EE" w:rsidP="00F719EE">
      <w:pPr>
        <w:pStyle w:val="Einleitung"/>
      </w:pPr>
      <w:r>
        <w:t>Results</w:t>
      </w:r>
    </w:p>
    <w:p w14:paraId="38A7279A" w14:textId="77777777" w:rsidR="00F719EE" w:rsidRPr="00F719EE" w:rsidRDefault="00F719EE" w:rsidP="00F719EE">
      <w:pPr>
        <w:rPr>
          <w:bCs/>
          <w:lang w:val="en-US"/>
        </w:rPr>
      </w:pPr>
      <w:r w:rsidRPr="00F719EE">
        <w:rPr>
          <w:bCs/>
          <w:lang w:val="en-US"/>
        </w:rPr>
        <w:t>Following the experimental setup validation for the recycled PA12 filaments, this section presents the results of the quantitative assessment and the subsequent evaluation of the selected recycling pathways. The experimental findings are then incorporated into the sustainability assessment and multi-criteria decision analysis to support comparison between pathways.</w:t>
      </w:r>
    </w:p>
    <w:p w14:paraId="188B1DE8" w14:textId="14B33D96" w:rsidR="00F719EE" w:rsidRDefault="00F719EE" w:rsidP="00F719EE">
      <w:pPr>
        <w:pStyle w:val="Heading20"/>
        <w:rPr>
          <w:lang w:val="en-US"/>
        </w:rPr>
      </w:pPr>
      <w:r>
        <w:rPr>
          <w:lang w:val="en-US"/>
        </w:rPr>
        <w:t>Mechanical testing results</w:t>
      </w:r>
    </w:p>
    <w:p w14:paraId="3D731B4D" w14:textId="6C38052E" w:rsidR="00F719EE" w:rsidRPr="00F719EE" w:rsidRDefault="00F719EE" w:rsidP="00F719EE">
      <w:pPr>
        <w:rPr>
          <w:lang w:val="en-US"/>
        </w:rPr>
      </w:pPr>
      <w:r w:rsidRPr="00F719EE">
        <w:rPr>
          <w:lang w:val="en-US"/>
        </w:rPr>
        <w:t>Internally produced filaments (Pathways A and B) exhibited unstable diameter and inhomogeneous composition, leading to feeding issues and under-extrusion during MEX printing. As a result, these pathways were excluded from further consideration. Externally produced filaments demonstrate</w:t>
      </w:r>
      <w:r w:rsidR="00973A60">
        <w:rPr>
          <w:lang w:val="en-US"/>
        </w:rPr>
        <w:t>d</w:t>
      </w:r>
      <w:r w:rsidRPr="00F719EE">
        <w:rPr>
          <w:lang w:val="en-US"/>
        </w:rPr>
        <w:t xml:space="preserve"> consistent diameter and reliable printability (Figure 10), enabling mechanical testing.</w:t>
      </w:r>
    </w:p>
    <w:p w14:paraId="03EB385C" w14:textId="77777777" w:rsidR="00F719EE" w:rsidRPr="00F719EE" w:rsidRDefault="00F719EE" w:rsidP="00637C41">
      <w:pPr>
        <w:jc w:val="center"/>
        <w:rPr>
          <w:lang w:val="en-US"/>
        </w:rPr>
      </w:pPr>
      <w:r w:rsidRPr="00F719EE">
        <w:rPr>
          <w:noProof/>
          <w:lang w:val="en-US"/>
        </w:rPr>
        <w:drawing>
          <wp:inline distT="0" distB="0" distL="0" distR="0" wp14:anchorId="3585123A" wp14:editId="0088E2F4">
            <wp:extent cx="2543908" cy="1430534"/>
            <wp:effectExtent l="0" t="0" r="0" b="5080"/>
            <wp:docPr id="770491795" name="Picture 1" descr="A group of spools of w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491795" name="Picture 1" descr="A group of spools of wire&#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2602154" cy="1463288"/>
                    </a:xfrm>
                    <a:prstGeom prst="rect">
                      <a:avLst/>
                    </a:prstGeom>
                  </pic:spPr>
                </pic:pic>
              </a:graphicData>
            </a:graphic>
          </wp:inline>
        </w:drawing>
      </w:r>
    </w:p>
    <w:p w14:paraId="538D2998" w14:textId="1E775367" w:rsidR="00637C41" w:rsidRPr="00F719EE" w:rsidRDefault="00637C41" w:rsidP="00637C41">
      <w:pPr>
        <w:pStyle w:val="Caption"/>
        <w:rPr>
          <w:lang w:val="en-US"/>
        </w:rPr>
      </w:pPr>
      <w:r w:rsidRPr="00637C41">
        <w:rPr>
          <w:lang w:val="en-US"/>
        </w:rPr>
        <w:t xml:space="preserve">Figure </w:t>
      </w:r>
      <w:r>
        <w:rPr>
          <w:lang w:val="en-US"/>
        </w:rPr>
        <w:t>10</w:t>
      </w:r>
      <w:r w:rsidRPr="00637C41">
        <w:rPr>
          <w:lang w:val="en-US"/>
        </w:rPr>
        <w:t>: Recycled PA12 filament obtained through Pathways C and D. From right to left there are respectively 100% flakes (no mixing), 90% flakes, 80% flakes, 70% flakes, and 50% flakes. Picture by the author.</w:t>
      </w:r>
    </w:p>
    <w:p w14:paraId="214B9BB0" w14:textId="7A9CBEC9" w:rsidR="00F719EE" w:rsidRPr="00F719EE" w:rsidRDefault="00F719EE" w:rsidP="00F719EE">
      <w:pPr>
        <w:rPr>
          <w:lang w:val="en-US"/>
        </w:rPr>
      </w:pPr>
      <w:r w:rsidRPr="00F719EE">
        <w:rPr>
          <w:lang w:val="en-US"/>
        </w:rPr>
        <w:lastRenderedPageBreak/>
        <w:t xml:space="preserve">Tensile testing revealed significant variability in elongation at break across mixtures (Figure 11). In general, higher flake content was associated with increased elongation at break, although the 80% flake mixture deviated from this trend. No consistent fracture pattern was observed visually (Figures 12–16), indicating heterogeneity in recycled material quality.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1"/>
        <w:gridCol w:w="4599"/>
      </w:tblGrid>
      <w:tr w:rsidR="00D36C4A" w:rsidRPr="00F719EE" w14:paraId="32125C26" w14:textId="77777777" w:rsidTr="00BA4286">
        <w:tc>
          <w:tcPr>
            <w:tcW w:w="3299" w:type="dxa"/>
            <w:vAlign w:val="center"/>
          </w:tcPr>
          <w:p w14:paraId="6CA08088" w14:textId="77777777" w:rsidR="00F719EE" w:rsidRPr="00F719EE" w:rsidRDefault="00F719EE" w:rsidP="00637C41">
            <w:pPr>
              <w:jc w:val="center"/>
              <w:rPr>
                <w:lang w:val="en-US"/>
              </w:rPr>
            </w:pPr>
            <w:r w:rsidRPr="00F719EE">
              <w:rPr>
                <w:noProof/>
                <w:lang w:val="en-US"/>
              </w:rPr>
              <w:drawing>
                <wp:inline distT="0" distB="0" distL="0" distR="0" wp14:anchorId="573B3531" wp14:editId="039005CC">
                  <wp:extent cx="2872154" cy="2154116"/>
                  <wp:effectExtent l="0" t="0" r="0" b="5080"/>
                  <wp:docPr id="1713256826" name="Picture 1" descr="A graph of different groups of recycled materi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56826" name="Picture 1" descr="A graph of different groups of recycled material&#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2938651" cy="2203989"/>
                          </a:xfrm>
                          <a:prstGeom prst="rect">
                            <a:avLst/>
                          </a:prstGeom>
                        </pic:spPr>
                      </pic:pic>
                    </a:graphicData>
                  </a:graphic>
                </wp:inline>
              </w:drawing>
            </w:r>
          </w:p>
        </w:tc>
        <w:tc>
          <w:tcPr>
            <w:tcW w:w="3619" w:type="dxa"/>
            <w:vAlign w:val="center"/>
          </w:tcPr>
          <w:p w14:paraId="646FDA30" w14:textId="77777777" w:rsidR="00F719EE" w:rsidRPr="00F719EE" w:rsidRDefault="00F719EE" w:rsidP="00637C41">
            <w:pPr>
              <w:jc w:val="center"/>
              <w:rPr>
                <w:lang w:val="en-US"/>
              </w:rPr>
            </w:pPr>
            <w:r w:rsidRPr="00F719EE">
              <w:rPr>
                <w:noProof/>
                <w:lang w:val="en-US"/>
              </w:rPr>
              <w:drawing>
                <wp:inline distT="0" distB="0" distL="0" distR="0" wp14:anchorId="33AE9D97" wp14:editId="001659F4">
                  <wp:extent cx="2954019" cy="2215515"/>
                  <wp:effectExtent l="0" t="0" r="5715" b="0"/>
                  <wp:docPr id="1167675971" name="Picture 1" descr="A graph of different groups of recycled materi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675971" name="Picture 1" descr="A graph of different groups of recycled material&#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3045597" cy="2284198"/>
                          </a:xfrm>
                          <a:prstGeom prst="rect">
                            <a:avLst/>
                          </a:prstGeom>
                        </pic:spPr>
                      </pic:pic>
                    </a:graphicData>
                  </a:graphic>
                </wp:inline>
              </w:drawing>
            </w:r>
          </w:p>
        </w:tc>
      </w:tr>
    </w:tbl>
    <w:p w14:paraId="7F4D01BA" w14:textId="473B1E9A" w:rsidR="00D36C4A" w:rsidRPr="00F719EE" w:rsidRDefault="00D36C4A" w:rsidP="00D36C4A">
      <w:pPr>
        <w:pStyle w:val="Caption"/>
        <w:rPr>
          <w:lang w:val="en-US"/>
        </w:rPr>
      </w:pPr>
      <w:r w:rsidRPr="00637C41">
        <w:rPr>
          <w:lang w:val="en-US"/>
        </w:rPr>
        <w:t xml:space="preserve">Figure </w:t>
      </w:r>
      <w:r>
        <w:rPr>
          <w:lang w:val="en-US"/>
        </w:rPr>
        <w:t>11</w:t>
      </w:r>
      <w:r w:rsidRPr="00637C41">
        <w:rPr>
          <w:lang w:val="en-US"/>
        </w:rPr>
        <w:t xml:space="preserve">: </w:t>
      </w:r>
      <w:r w:rsidRPr="00F719EE">
        <w:rPr>
          <w:lang w:val="en-US"/>
        </w:rPr>
        <w:t xml:space="preserve">Tensile testing comparison results on the different mixtures for Pathways C and D: </w:t>
      </w:r>
      <w:r w:rsidRPr="00F719EE">
        <w:rPr>
          <w:b/>
          <w:bCs/>
          <w:lang w:val="en-US"/>
        </w:rPr>
        <w:t>(a)</w:t>
      </w:r>
      <w:r w:rsidRPr="00F719EE">
        <w:rPr>
          <w:lang w:val="en-US"/>
        </w:rPr>
        <w:t xml:space="preserve"> Tensile strength (left) and </w:t>
      </w:r>
      <w:r w:rsidRPr="00F719EE">
        <w:rPr>
          <w:b/>
          <w:bCs/>
          <w:lang w:val="en-US"/>
        </w:rPr>
        <w:t>(b)</w:t>
      </w:r>
      <w:r w:rsidRPr="00F719EE">
        <w:rPr>
          <w:lang w:val="en-US"/>
        </w:rPr>
        <w:t xml:space="preserve"> Elongation at break (right). Picture by the author.</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389"/>
      </w:tblGrid>
      <w:tr w:rsidR="00D36C4A" w:rsidRPr="00F719EE" w14:paraId="771A82B0" w14:textId="77777777" w:rsidTr="00BA4286">
        <w:tc>
          <w:tcPr>
            <w:tcW w:w="3299" w:type="dxa"/>
            <w:vAlign w:val="center"/>
          </w:tcPr>
          <w:p w14:paraId="31AF7F93" w14:textId="77777777" w:rsidR="00F719EE" w:rsidRPr="00F719EE" w:rsidRDefault="00F719EE" w:rsidP="00637C41">
            <w:pPr>
              <w:jc w:val="center"/>
              <w:rPr>
                <w:lang w:val="en-US"/>
              </w:rPr>
            </w:pPr>
            <w:r w:rsidRPr="00F719EE">
              <w:rPr>
                <w:noProof/>
                <w:lang w:val="en-US"/>
              </w:rPr>
              <w:drawing>
                <wp:inline distT="0" distB="0" distL="0" distR="0" wp14:anchorId="5AA7E6AA" wp14:editId="25D8DCD6">
                  <wp:extent cx="2840915" cy="1699847"/>
                  <wp:effectExtent l="0" t="0" r="4445" b="2540"/>
                  <wp:docPr id="130831891" name="Picture 1" descr="A row of white plastic objects with yellow lab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31891" name="Picture 1" descr="A row of white plastic objects with yellow labels&#10;&#10;AI-generated content may be incorrect."/>
                          <pic:cNvPicPr/>
                        </pic:nvPicPr>
                        <pic:blipFill rotWithShape="1">
                          <a:blip r:embed="rId22">
                            <a:extLst>
                              <a:ext uri="{28A0092B-C50C-407E-A947-70E740481C1C}">
                                <a14:useLocalDpi xmlns:a14="http://schemas.microsoft.com/office/drawing/2010/main" val="0"/>
                              </a:ext>
                            </a:extLst>
                          </a:blip>
                          <a:srcRect l="10817" t="24028" r="10016" b="4873"/>
                          <a:stretch/>
                        </pic:blipFill>
                        <pic:spPr bwMode="auto">
                          <a:xfrm>
                            <a:off x="0" y="0"/>
                            <a:ext cx="2886145" cy="1726910"/>
                          </a:xfrm>
                          <a:prstGeom prst="rect">
                            <a:avLst/>
                          </a:prstGeom>
                          <a:ln>
                            <a:noFill/>
                          </a:ln>
                          <a:extLst>
                            <a:ext uri="{53640926-AAD7-44D8-BBD7-CCE9431645EC}">
                              <a14:shadowObscured xmlns:a14="http://schemas.microsoft.com/office/drawing/2010/main"/>
                            </a:ext>
                          </a:extLst>
                        </pic:spPr>
                      </pic:pic>
                    </a:graphicData>
                  </a:graphic>
                </wp:inline>
              </w:drawing>
            </w:r>
          </w:p>
        </w:tc>
        <w:tc>
          <w:tcPr>
            <w:tcW w:w="3619" w:type="dxa"/>
            <w:vAlign w:val="center"/>
          </w:tcPr>
          <w:p w14:paraId="34BDF987" w14:textId="77777777" w:rsidR="00F719EE" w:rsidRPr="00F719EE" w:rsidRDefault="00F719EE" w:rsidP="00637C41">
            <w:pPr>
              <w:jc w:val="center"/>
              <w:rPr>
                <w:lang w:val="en-US"/>
              </w:rPr>
            </w:pPr>
            <w:r w:rsidRPr="00F719EE">
              <w:rPr>
                <w:noProof/>
                <w:lang w:val="en-US"/>
              </w:rPr>
              <w:drawing>
                <wp:inline distT="0" distB="0" distL="0" distR="0" wp14:anchorId="6736E2E7" wp14:editId="0971911B">
                  <wp:extent cx="2659059" cy="1770185"/>
                  <wp:effectExtent l="0" t="0" r="0" b="0"/>
                  <wp:docPr id="1058009028" name="Picture 1" descr="Several white plastic forks with yellow lab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09028" name="Picture 1" descr="Several white plastic forks with yellow labels&#10;&#10;AI-generated content may be incorrect."/>
                          <pic:cNvPicPr/>
                        </pic:nvPicPr>
                        <pic:blipFill rotWithShape="1">
                          <a:blip r:embed="rId23">
                            <a:extLst>
                              <a:ext uri="{28A0092B-C50C-407E-A947-70E740481C1C}">
                                <a14:useLocalDpi xmlns:a14="http://schemas.microsoft.com/office/drawing/2010/main" val="0"/>
                              </a:ext>
                            </a:extLst>
                          </a:blip>
                          <a:srcRect l="9235" t="15842" r="11851" b="5306"/>
                          <a:stretch/>
                        </pic:blipFill>
                        <pic:spPr bwMode="auto">
                          <a:xfrm>
                            <a:off x="0" y="0"/>
                            <a:ext cx="2687701" cy="1789253"/>
                          </a:xfrm>
                          <a:prstGeom prst="rect">
                            <a:avLst/>
                          </a:prstGeom>
                          <a:ln>
                            <a:noFill/>
                          </a:ln>
                          <a:extLst>
                            <a:ext uri="{53640926-AAD7-44D8-BBD7-CCE9431645EC}">
                              <a14:shadowObscured xmlns:a14="http://schemas.microsoft.com/office/drawing/2010/main"/>
                            </a:ext>
                          </a:extLst>
                        </pic:spPr>
                      </pic:pic>
                    </a:graphicData>
                  </a:graphic>
                </wp:inline>
              </w:drawing>
            </w:r>
          </w:p>
        </w:tc>
      </w:tr>
    </w:tbl>
    <w:p w14:paraId="00A21DA5" w14:textId="4E1CD1F8" w:rsidR="00D36C4A" w:rsidRPr="00F719EE" w:rsidRDefault="00D36C4A" w:rsidP="00D36C4A">
      <w:pPr>
        <w:pStyle w:val="Caption"/>
        <w:rPr>
          <w:lang w:val="en-US"/>
        </w:rPr>
      </w:pPr>
      <w:r w:rsidRPr="00637C41">
        <w:rPr>
          <w:lang w:val="en-US"/>
        </w:rPr>
        <w:t xml:space="preserve">Figure </w:t>
      </w:r>
      <w:r>
        <w:rPr>
          <w:lang w:val="en-US"/>
        </w:rPr>
        <w:t>12</w:t>
      </w:r>
      <w:r w:rsidRPr="00637C41">
        <w:rPr>
          <w:lang w:val="en-US"/>
        </w:rPr>
        <w:t xml:space="preserve">: </w:t>
      </w:r>
      <w:r w:rsidRPr="00F719EE">
        <w:rPr>
          <w:lang w:val="en-US"/>
        </w:rPr>
        <w:t xml:space="preserve">Test specimens before/after tensile testing - Filament 100% flakes content: </w:t>
      </w:r>
      <w:r w:rsidRPr="00F719EE">
        <w:rPr>
          <w:b/>
          <w:bCs/>
          <w:lang w:val="en-US"/>
        </w:rPr>
        <w:t>(a)</w:t>
      </w:r>
      <w:r w:rsidRPr="00F719EE">
        <w:rPr>
          <w:lang w:val="en-US"/>
        </w:rPr>
        <w:t xml:space="preserve"> before (left) and </w:t>
      </w:r>
      <w:r w:rsidRPr="00F719EE">
        <w:rPr>
          <w:b/>
          <w:bCs/>
          <w:lang w:val="en-US"/>
        </w:rPr>
        <w:t>(b)</w:t>
      </w:r>
      <w:r w:rsidRPr="00F719EE">
        <w:rPr>
          <w:lang w:val="en-US"/>
        </w:rPr>
        <w:t xml:space="preserve"> after (right). Picture by the author.</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396"/>
      </w:tblGrid>
      <w:tr w:rsidR="00D36C4A" w:rsidRPr="00F719EE" w14:paraId="6B680AC8" w14:textId="77777777" w:rsidTr="00BA4286">
        <w:tc>
          <w:tcPr>
            <w:tcW w:w="3299" w:type="dxa"/>
            <w:vAlign w:val="center"/>
          </w:tcPr>
          <w:p w14:paraId="60ACF3D0" w14:textId="77777777" w:rsidR="00F719EE" w:rsidRPr="00F719EE" w:rsidRDefault="00F719EE" w:rsidP="00637C41">
            <w:pPr>
              <w:jc w:val="center"/>
              <w:rPr>
                <w:lang w:val="en-US"/>
              </w:rPr>
            </w:pPr>
            <w:r w:rsidRPr="00F719EE">
              <w:rPr>
                <w:noProof/>
                <w:lang w:val="en-US"/>
              </w:rPr>
              <w:drawing>
                <wp:inline distT="0" distB="0" distL="0" distR="0" wp14:anchorId="39619355" wp14:editId="1DE11F5E">
                  <wp:extent cx="2836985" cy="1716105"/>
                  <wp:effectExtent l="0" t="0" r="0" b="0"/>
                  <wp:docPr id="2039207065" name="Picture 1" descr="A row of plastic rods with yellow lab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207065" name="Picture 1" descr="A row of plastic rods with yellow labels&#10;&#10;AI-generated content may be incorrect."/>
                          <pic:cNvPicPr/>
                        </pic:nvPicPr>
                        <pic:blipFill rotWithShape="1">
                          <a:blip r:embed="rId24">
                            <a:extLst>
                              <a:ext uri="{28A0092B-C50C-407E-A947-70E740481C1C}">
                                <a14:useLocalDpi xmlns:a14="http://schemas.microsoft.com/office/drawing/2010/main" val="0"/>
                              </a:ext>
                            </a:extLst>
                          </a:blip>
                          <a:srcRect l="9734" t="23376" r="10863" b="4532"/>
                          <a:stretch/>
                        </pic:blipFill>
                        <pic:spPr bwMode="auto">
                          <a:xfrm>
                            <a:off x="0" y="0"/>
                            <a:ext cx="2863856" cy="1732359"/>
                          </a:xfrm>
                          <a:prstGeom prst="rect">
                            <a:avLst/>
                          </a:prstGeom>
                          <a:ln>
                            <a:noFill/>
                          </a:ln>
                          <a:extLst>
                            <a:ext uri="{53640926-AAD7-44D8-BBD7-CCE9431645EC}">
                              <a14:shadowObscured xmlns:a14="http://schemas.microsoft.com/office/drawing/2010/main"/>
                            </a:ext>
                          </a:extLst>
                        </pic:spPr>
                      </pic:pic>
                    </a:graphicData>
                  </a:graphic>
                </wp:inline>
              </w:drawing>
            </w:r>
          </w:p>
        </w:tc>
        <w:tc>
          <w:tcPr>
            <w:tcW w:w="3619" w:type="dxa"/>
            <w:vAlign w:val="center"/>
          </w:tcPr>
          <w:p w14:paraId="6612698C" w14:textId="77777777" w:rsidR="00F719EE" w:rsidRPr="00F719EE" w:rsidRDefault="00F719EE" w:rsidP="00637C41">
            <w:pPr>
              <w:jc w:val="center"/>
              <w:rPr>
                <w:lang w:val="en-US"/>
              </w:rPr>
            </w:pPr>
            <w:r w:rsidRPr="00F719EE">
              <w:rPr>
                <w:noProof/>
                <w:lang w:val="en-US"/>
              </w:rPr>
              <w:drawing>
                <wp:inline distT="0" distB="0" distL="0" distR="0" wp14:anchorId="01CA6551" wp14:editId="63752767">
                  <wp:extent cx="2660308" cy="1709670"/>
                  <wp:effectExtent l="0" t="0" r="0" b="5080"/>
                  <wp:docPr id="1508555938" name="Picture 1" descr="Several white plastic measuring sti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55938" name="Picture 1" descr="Several white plastic measuring sticks&#10;&#10;AI-generated content may be incorrect."/>
                          <pic:cNvPicPr/>
                        </pic:nvPicPr>
                        <pic:blipFill rotWithShape="1">
                          <a:blip r:embed="rId25">
                            <a:extLst>
                              <a:ext uri="{28A0092B-C50C-407E-A947-70E740481C1C}">
                                <a14:useLocalDpi xmlns:a14="http://schemas.microsoft.com/office/drawing/2010/main" val="0"/>
                              </a:ext>
                            </a:extLst>
                          </a:blip>
                          <a:srcRect l="10551" t="18146" r="10057" b="5273"/>
                          <a:stretch/>
                        </pic:blipFill>
                        <pic:spPr bwMode="auto">
                          <a:xfrm>
                            <a:off x="0" y="0"/>
                            <a:ext cx="2689118" cy="1728185"/>
                          </a:xfrm>
                          <a:prstGeom prst="rect">
                            <a:avLst/>
                          </a:prstGeom>
                          <a:ln>
                            <a:noFill/>
                          </a:ln>
                          <a:extLst>
                            <a:ext uri="{53640926-AAD7-44D8-BBD7-CCE9431645EC}">
                              <a14:shadowObscured xmlns:a14="http://schemas.microsoft.com/office/drawing/2010/main"/>
                            </a:ext>
                          </a:extLst>
                        </pic:spPr>
                      </pic:pic>
                    </a:graphicData>
                  </a:graphic>
                </wp:inline>
              </w:drawing>
            </w:r>
          </w:p>
        </w:tc>
      </w:tr>
    </w:tbl>
    <w:p w14:paraId="43179C63" w14:textId="24197166" w:rsidR="00D36C4A" w:rsidRPr="00F719EE" w:rsidRDefault="00D36C4A" w:rsidP="00D36C4A">
      <w:pPr>
        <w:pStyle w:val="Caption"/>
        <w:rPr>
          <w:lang w:val="en-US"/>
        </w:rPr>
      </w:pPr>
      <w:r w:rsidRPr="00637C41">
        <w:rPr>
          <w:lang w:val="en-US"/>
        </w:rPr>
        <w:t xml:space="preserve">Figure </w:t>
      </w:r>
      <w:r>
        <w:rPr>
          <w:lang w:val="en-US"/>
        </w:rPr>
        <w:t>13</w:t>
      </w:r>
      <w:r w:rsidRPr="00637C41">
        <w:rPr>
          <w:lang w:val="en-US"/>
        </w:rPr>
        <w:t xml:space="preserve">: </w:t>
      </w:r>
      <w:r w:rsidRPr="00F719EE">
        <w:rPr>
          <w:lang w:val="en-US"/>
        </w:rPr>
        <w:t xml:space="preserve">Test specimens before/after tensile testing - Filament </w:t>
      </w:r>
      <w:r>
        <w:rPr>
          <w:lang w:val="en-US"/>
        </w:rPr>
        <w:t>9</w:t>
      </w:r>
      <w:r w:rsidRPr="00F719EE">
        <w:rPr>
          <w:lang w:val="en-US"/>
        </w:rPr>
        <w:t xml:space="preserve">0% flakes content: </w:t>
      </w:r>
      <w:r w:rsidRPr="00F719EE">
        <w:rPr>
          <w:b/>
          <w:bCs/>
          <w:lang w:val="en-US"/>
        </w:rPr>
        <w:t>(a)</w:t>
      </w:r>
      <w:r w:rsidRPr="00F719EE">
        <w:rPr>
          <w:lang w:val="en-US"/>
        </w:rPr>
        <w:t xml:space="preserve"> before (left) and </w:t>
      </w:r>
      <w:r w:rsidRPr="00F719EE">
        <w:rPr>
          <w:b/>
          <w:bCs/>
          <w:lang w:val="en-US"/>
        </w:rPr>
        <w:t>(b)</w:t>
      </w:r>
      <w:r w:rsidRPr="00F719EE">
        <w:rPr>
          <w:lang w:val="en-US"/>
        </w:rPr>
        <w:t xml:space="preserve"> after (right). Picture by the author.</w:t>
      </w:r>
    </w:p>
    <w:p w14:paraId="7341EC6A" w14:textId="77777777" w:rsidR="00D36C4A" w:rsidRPr="00F719EE" w:rsidRDefault="00D36C4A" w:rsidP="00637C41">
      <w:pPr>
        <w:jc w:val="center"/>
        <w:rPr>
          <w:lang w:val="en-US"/>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371"/>
      </w:tblGrid>
      <w:tr w:rsidR="00D36C4A" w:rsidRPr="00F719EE" w14:paraId="64CDFEF7" w14:textId="77777777" w:rsidTr="00BA4286">
        <w:tc>
          <w:tcPr>
            <w:tcW w:w="3299" w:type="dxa"/>
            <w:vAlign w:val="center"/>
          </w:tcPr>
          <w:p w14:paraId="7014107C" w14:textId="77777777" w:rsidR="00F719EE" w:rsidRPr="00F719EE" w:rsidRDefault="00F719EE" w:rsidP="00637C41">
            <w:pPr>
              <w:jc w:val="center"/>
              <w:rPr>
                <w:lang w:val="en-US"/>
              </w:rPr>
            </w:pPr>
            <w:r w:rsidRPr="00F719EE">
              <w:rPr>
                <w:noProof/>
                <w:lang w:val="en-US"/>
              </w:rPr>
              <w:lastRenderedPageBreak/>
              <w:drawing>
                <wp:inline distT="0" distB="0" distL="0" distR="0" wp14:anchorId="51094AE3" wp14:editId="18EC3E47">
                  <wp:extent cx="2960864" cy="1781468"/>
                  <wp:effectExtent l="0" t="0" r="0" b="0"/>
                  <wp:docPr id="722152721" name="Picture 1" descr="A row of white plastic tubes with yellow lab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152721" name="Picture 1" descr="A row of white plastic tubes with yellow labels&#10;&#10;AI-generated content may be incorrect."/>
                          <pic:cNvPicPr/>
                        </pic:nvPicPr>
                        <pic:blipFill rotWithShape="1">
                          <a:blip r:embed="rId26">
                            <a:extLst>
                              <a:ext uri="{28A0092B-C50C-407E-A947-70E740481C1C}">
                                <a14:useLocalDpi xmlns:a14="http://schemas.microsoft.com/office/drawing/2010/main" val="0"/>
                              </a:ext>
                            </a:extLst>
                          </a:blip>
                          <a:srcRect l="11464" t="25648" r="10841" b="4187"/>
                          <a:stretch/>
                        </pic:blipFill>
                        <pic:spPr bwMode="auto">
                          <a:xfrm>
                            <a:off x="0" y="0"/>
                            <a:ext cx="3012929" cy="1812794"/>
                          </a:xfrm>
                          <a:prstGeom prst="rect">
                            <a:avLst/>
                          </a:prstGeom>
                          <a:ln>
                            <a:noFill/>
                          </a:ln>
                          <a:extLst>
                            <a:ext uri="{53640926-AAD7-44D8-BBD7-CCE9431645EC}">
                              <a14:shadowObscured xmlns:a14="http://schemas.microsoft.com/office/drawing/2010/main"/>
                            </a:ext>
                          </a:extLst>
                        </pic:spPr>
                      </pic:pic>
                    </a:graphicData>
                  </a:graphic>
                </wp:inline>
              </w:drawing>
            </w:r>
          </w:p>
        </w:tc>
        <w:tc>
          <w:tcPr>
            <w:tcW w:w="3619" w:type="dxa"/>
            <w:vAlign w:val="center"/>
          </w:tcPr>
          <w:p w14:paraId="4CC96254" w14:textId="77777777" w:rsidR="00F719EE" w:rsidRPr="00F719EE" w:rsidRDefault="00F719EE" w:rsidP="00637C41">
            <w:pPr>
              <w:jc w:val="center"/>
              <w:rPr>
                <w:lang w:val="en-US"/>
              </w:rPr>
            </w:pPr>
            <w:r w:rsidRPr="00F719EE">
              <w:rPr>
                <w:noProof/>
                <w:lang w:val="en-US"/>
              </w:rPr>
              <w:drawing>
                <wp:inline distT="0" distB="0" distL="0" distR="0" wp14:anchorId="22B559DD" wp14:editId="796BF373">
                  <wp:extent cx="2742511" cy="1770087"/>
                  <wp:effectExtent l="0" t="0" r="1270" b="0"/>
                  <wp:docPr id="462596648" name="Picture 1" descr="Several white plastic objects with yellow lab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596648" name="Picture 1" descr="Several white plastic objects with yellow labels&#10;&#10;AI-generated content may be incorrect."/>
                          <pic:cNvPicPr/>
                        </pic:nvPicPr>
                        <pic:blipFill rotWithShape="1">
                          <a:blip r:embed="rId27">
                            <a:extLst>
                              <a:ext uri="{28A0092B-C50C-407E-A947-70E740481C1C}">
                                <a14:useLocalDpi xmlns:a14="http://schemas.microsoft.com/office/drawing/2010/main" val="0"/>
                              </a:ext>
                            </a:extLst>
                          </a:blip>
                          <a:srcRect l="11651" t="17817" r="8962" b="5277"/>
                          <a:stretch/>
                        </pic:blipFill>
                        <pic:spPr bwMode="auto">
                          <a:xfrm>
                            <a:off x="0" y="0"/>
                            <a:ext cx="2789646" cy="1800509"/>
                          </a:xfrm>
                          <a:prstGeom prst="rect">
                            <a:avLst/>
                          </a:prstGeom>
                          <a:ln>
                            <a:noFill/>
                          </a:ln>
                          <a:extLst>
                            <a:ext uri="{53640926-AAD7-44D8-BBD7-CCE9431645EC}">
                              <a14:shadowObscured xmlns:a14="http://schemas.microsoft.com/office/drawing/2010/main"/>
                            </a:ext>
                          </a:extLst>
                        </pic:spPr>
                      </pic:pic>
                    </a:graphicData>
                  </a:graphic>
                </wp:inline>
              </w:drawing>
            </w:r>
          </w:p>
        </w:tc>
      </w:tr>
    </w:tbl>
    <w:p w14:paraId="0EF46BB9" w14:textId="545C77F8" w:rsidR="00D36C4A" w:rsidRPr="00F719EE" w:rsidRDefault="00D36C4A" w:rsidP="00D36C4A">
      <w:pPr>
        <w:pStyle w:val="Caption"/>
        <w:rPr>
          <w:lang w:val="en-US"/>
        </w:rPr>
      </w:pPr>
      <w:r w:rsidRPr="00637C41">
        <w:rPr>
          <w:lang w:val="en-US"/>
        </w:rPr>
        <w:t xml:space="preserve">Figure </w:t>
      </w:r>
      <w:r>
        <w:rPr>
          <w:lang w:val="en-US"/>
        </w:rPr>
        <w:t>14</w:t>
      </w:r>
      <w:r w:rsidRPr="00637C41">
        <w:rPr>
          <w:lang w:val="en-US"/>
        </w:rPr>
        <w:t xml:space="preserve">: </w:t>
      </w:r>
      <w:r w:rsidRPr="00F719EE">
        <w:rPr>
          <w:lang w:val="en-US"/>
        </w:rPr>
        <w:t xml:space="preserve">Test specimens before/after tensile testing - Filament </w:t>
      </w:r>
      <w:r>
        <w:rPr>
          <w:lang w:val="en-US"/>
        </w:rPr>
        <w:t>8</w:t>
      </w:r>
      <w:r w:rsidRPr="00F719EE">
        <w:rPr>
          <w:lang w:val="en-US"/>
        </w:rPr>
        <w:t xml:space="preserve">0% flakes content: </w:t>
      </w:r>
      <w:r w:rsidRPr="00F719EE">
        <w:rPr>
          <w:b/>
          <w:bCs/>
          <w:lang w:val="en-US"/>
        </w:rPr>
        <w:t>(a)</w:t>
      </w:r>
      <w:r w:rsidRPr="00F719EE">
        <w:rPr>
          <w:lang w:val="en-US"/>
        </w:rPr>
        <w:t xml:space="preserve"> before (left) and </w:t>
      </w:r>
      <w:r w:rsidRPr="00F719EE">
        <w:rPr>
          <w:b/>
          <w:bCs/>
          <w:lang w:val="en-US"/>
        </w:rPr>
        <w:t>(b)</w:t>
      </w:r>
      <w:r w:rsidRPr="00F719EE">
        <w:rPr>
          <w:lang w:val="en-US"/>
        </w:rPr>
        <w:t xml:space="preserve"> after (right). Picture by the author.</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367"/>
      </w:tblGrid>
      <w:tr w:rsidR="00D36C4A" w:rsidRPr="00F719EE" w14:paraId="64157FE7" w14:textId="77777777" w:rsidTr="00BA4286">
        <w:tc>
          <w:tcPr>
            <w:tcW w:w="3299" w:type="dxa"/>
            <w:vAlign w:val="center"/>
          </w:tcPr>
          <w:p w14:paraId="2055FDF2" w14:textId="77777777" w:rsidR="00F719EE" w:rsidRPr="00F719EE" w:rsidRDefault="00F719EE" w:rsidP="00637C41">
            <w:pPr>
              <w:jc w:val="center"/>
              <w:rPr>
                <w:lang w:val="en-US"/>
              </w:rPr>
            </w:pPr>
            <w:r w:rsidRPr="00F719EE">
              <w:rPr>
                <w:noProof/>
                <w:lang w:val="en-US"/>
              </w:rPr>
              <w:drawing>
                <wp:inline distT="0" distB="0" distL="0" distR="0" wp14:anchorId="533489C5" wp14:editId="6465E84C">
                  <wp:extent cx="2914787" cy="1773164"/>
                  <wp:effectExtent l="0" t="0" r="0" b="5080"/>
                  <wp:docPr id="2115122414" name="Picture 1" descr="A row of white plastic rods with yellow lab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122414" name="Picture 1" descr="A row of white plastic rods with yellow labels&#10;&#10;AI-generated content may be incorrect."/>
                          <pic:cNvPicPr/>
                        </pic:nvPicPr>
                        <pic:blipFill rotWithShape="1">
                          <a:blip r:embed="rId28">
                            <a:extLst>
                              <a:ext uri="{28A0092B-C50C-407E-A947-70E740481C1C}">
                                <a14:useLocalDpi xmlns:a14="http://schemas.microsoft.com/office/drawing/2010/main" val="0"/>
                              </a:ext>
                            </a:extLst>
                          </a:blip>
                          <a:srcRect l="10599" t="24025" r="11509" b="4854"/>
                          <a:stretch/>
                        </pic:blipFill>
                        <pic:spPr bwMode="auto">
                          <a:xfrm>
                            <a:off x="0" y="0"/>
                            <a:ext cx="2950698" cy="1795010"/>
                          </a:xfrm>
                          <a:prstGeom prst="rect">
                            <a:avLst/>
                          </a:prstGeom>
                          <a:ln>
                            <a:noFill/>
                          </a:ln>
                          <a:extLst>
                            <a:ext uri="{53640926-AAD7-44D8-BBD7-CCE9431645EC}">
                              <a14:shadowObscured xmlns:a14="http://schemas.microsoft.com/office/drawing/2010/main"/>
                            </a:ext>
                          </a:extLst>
                        </pic:spPr>
                      </pic:pic>
                    </a:graphicData>
                  </a:graphic>
                </wp:inline>
              </w:drawing>
            </w:r>
          </w:p>
        </w:tc>
        <w:tc>
          <w:tcPr>
            <w:tcW w:w="3619" w:type="dxa"/>
            <w:vAlign w:val="center"/>
          </w:tcPr>
          <w:p w14:paraId="1DFBE88F" w14:textId="77777777" w:rsidR="00F719EE" w:rsidRPr="00F719EE" w:rsidRDefault="00F719EE" w:rsidP="00637C41">
            <w:pPr>
              <w:jc w:val="center"/>
              <w:rPr>
                <w:lang w:val="en-US"/>
              </w:rPr>
            </w:pPr>
            <w:r w:rsidRPr="00F719EE">
              <w:rPr>
                <w:noProof/>
                <w:lang w:val="en-US"/>
              </w:rPr>
              <w:drawing>
                <wp:inline distT="0" distB="0" distL="0" distR="0" wp14:anchorId="16840C87" wp14:editId="5DAF6A1B">
                  <wp:extent cx="2696307" cy="1738117"/>
                  <wp:effectExtent l="0" t="0" r="0" b="1905"/>
                  <wp:docPr id="1076141258" name="Picture 1" descr="A row of white plastic forks with yellow lab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141258" name="Picture 1" descr="A row of white plastic forks with yellow labels&#10;&#10;AI-generated content may be incorrect."/>
                          <pic:cNvPicPr/>
                        </pic:nvPicPr>
                        <pic:blipFill rotWithShape="1">
                          <a:blip r:embed="rId29">
                            <a:extLst>
                              <a:ext uri="{28A0092B-C50C-407E-A947-70E740481C1C}">
                                <a14:useLocalDpi xmlns:a14="http://schemas.microsoft.com/office/drawing/2010/main" val="0"/>
                              </a:ext>
                            </a:extLst>
                          </a:blip>
                          <a:srcRect l="10376" t="18147" r="9793" b="4613"/>
                          <a:stretch/>
                        </pic:blipFill>
                        <pic:spPr bwMode="auto">
                          <a:xfrm>
                            <a:off x="0" y="0"/>
                            <a:ext cx="2734988" cy="1763052"/>
                          </a:xfrm>
                          <a:prstGeom prst="rect">
                            <a:avLst/>
                          </a:prstGeom>
                          <a:ln>
                            <a:noFill/>
                          </a:ln>
                          <a:extLst>
                            <a:ext uri="{53640926-AAD7-44D8-BBD7-CCE9431645EC}">
                              <a14:shadowObscured xmlns:a14="http://schemas.microsoft.com/office/drawing/2010/main"/>
                            </a:ext>
                          </a:extLst>
                        </pic:spPr>
                      </pic:pic>
                    </a:graphicData>
                  </a:graphic>
                </wp:inline>
              </w:drawing>
            </w:r>
          </w:p>
        </w:tc>
      </w:tr>
    </w:tbl>
    <w:p w14:paraId="3122B56E" w14:textId="7B6C3CF2" w:rsidR="00D36C4A" w:rsidRPr="00F719EE" w:rsidRDefault="00D36C4A" w:rsidP="00D36C4A">
      <w:pPr>
        <w:pStyle w:val="Caption"/>
        <w:rPr>
          <w:lang w:val="en-US"/>
        </w:rPr>
      </w:pPr>
      <w:r w:rsidRPr="00637C41">
        <w:rPr>
          <w:lang w:val="en-US"/>
        </w:rPr>
        <w:t xml:space="preserve">Figure </w:t>
      </w:r>
      <w:r>
        <w:rPr>
          <w:lang w:val="en-US"/>
        </w:rPr>
        <w:t>15</w:t>
      </w:r>
      <w:r w:rsidRPr="00637C41">
        <w:rPr>
          <w:lang w:val="en-US"/>
        </w:rPr>
        <w:t xml:space="preserve">: </w:t>
      </w:r>
      <w:r w:rsidRPr="00F719EE">
        <w:rPr>
          <w:lang w:val="en-US"/>
        </w:rPr>
        <w:t xml:space="preserve">Test specimens before/after tensile testing - Filament </w:t>
      </w:r>
      <w:r>
        <w:rPr>
          <w:lang w:val="en-US"/>
        </w:rPr>
        <w:t>7</w:t>
      </w:r>
      <w:r w:rsidRPr="00F719EE">
        <w:rPr>
          <w:lang w:val="en-US"/>
        </w:rPr>
        <w:t xml:space="preserve">0% flakes content: </w:t>
      </w:r>
      <w:r w:rsidRPr="00F719EE">
        <w:rPr>
          <w:b/>
          <w:bCs/>
          <w:lang w:val="en-US"/>
        </w:rPr>
        <w:t>(a)</w:t>
      </w:r>
      <w:r w:rsidRPr="00F719EE">
        <w:rPr>
          <w:lang w:val="en-US"/>
        </w:rPr>
        <w:t xml:space="preserve"> before (left) and </w:t>
      </w:r>
      <w:r w:rsidRPr="00F719EE">
        <w:rPr>
          <w:b/>
          <w:bCs/>
          <w:lang w:val="en-US"/>
        </w:rPr>
        <w:t>(b)</w:t>
      </w:r>
      <w:r w:rsidRPr="00F719EE">
        <w:rPr>
          <w:lang w:val="en-US"/>
        </w:rPr>
        <w:t xml:space="preserve"> after (right). Picture by the author.</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4348"/>
      </w:tblGrid>
      <w:tr w:rsidR="00D36C4A" w:rsidRPr="00F719EE" w14:paraId="53D69E62" w14:textId="77777777" w:rsidTr="00BA4286">
        <w:tc>
          <w:tcPr>
            <w:tcW w:w="3299" w:type="dxa"/>
            <w:vAlign w:val="center"/>
          </w:tcPr>
          <w:p w14:paraId="3D50E3A8" w14:textId="77777777" w:rsidR="00F719EE" w:rsidRPr="00F719EE" w:rsidRDefault="00F719EE" w:rsidP="00637C41">
            <w:pPr>
              <w:jc w:val="center"/>
              <w:rPr>
                <w:lang w:val="en-US"/>
              </w:rPr>
            </w:pPr>
            <w:r w:rsidRPr="00F719EE">
              <w:rPr>
                <w:noProof/>
                <w:lang w:val="en-US"/>
              </w:rPr>
              <w:drawing>
                <wp:inline distT="0" distB="0" distL="0" distR="0" wp14:anchorId="78EBD6DD" wp14:editId="30BCFE8A">
                  <wp:extent cx="2914650" cy="1714501"/>
                  <wp:effectExtent l="0" t="0" r="0" b="0"/>
                  <wp:docPr id="595030703" name="Picture 1" descr="A row of white plastic objects with yellow lab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030703" name="Picture 1" descr="A row of white plastic objects with yellow labels&#10;&#10;AI-generated content may be incorrect."/>
                          <pic:cNvPicPr/>
                        </pic:nvPicPr>
                        <pic:blipFill rotWithShape="1">
                          <a:blip r:embed="rId30">
                            <a:extLst>
                              <a:ext uri="{28A0092B-C50C-407E-A947-70E740481C1C}">
                                <a14:useLocalDpi xmlns:a14="http://schemas.microsoft.com/office/drawing/2010/main" val="0"/>
                              </a:ext>
                            </a:extLst>
                          </a:blip>
                          <a:srcRect l="11681" t="26623" r="11085" b="5186"/>
                          <a:stretch/>
                        </pic:blipFill>
                        <pic:spPr bwMode="auto">
                          <a:xfrm>
                            <a:off x="0" y="0"/>
                            <a:ext cx="2925957" cy="1721152"/>
                          </a:xfrm>
                          <a:prstGeom prst="rect">
                            <a:avLst/>
                          </a:prstGeom>
                          <a:ln>
                            <a:noFill/>
                          </a:ln>
                          <a:extLst>
                            <a:ext uri="{53640926-AAD7-44D8-BBD7-CCE9431645EC}">
                              <a14:shadowObscured xmlns:a14="http://schemas.microsoft.com/office/drawing/2010/main"/>
                            </a:ext>
                          </a:extLst>
                        </pic:spPr>
                      </pic:pic>
                    </a:graphicData>
                  </a:graphic>
                </wp:inline>
              </w:drawing>
            </w:r>
          </w:p>
        </w:tc>
        <w:tc>
          <w:tcPr>
            <w:tcW w:w="3619" w:type="dxa"/>
            <w:vAlign w:val="center"/>
          </w:tcPr>
          <w:p w14:paraId="633A6F8F" w14:textId="77777777" w:rsidR="00F719EE" w:rsidRPr="00F719EE" w:rsidRDefault="00F719EE" w:rsidP="00637C41">
            <w:pPr>
              <w:jc w:val="center"/>
              <w:rPr>
                <w:lang w:val="en-US"/>
              </w:rPr>
            </w:pPr>
            <w:r w:rsidRPr="00F719EE">
              <w:rPr>
                <w:noProof/>
                <w:lang w:val="en-US"/>
              </w:rPr>
              <w:drawing>
                <wp:inline distT="0" distB="0" distL="0" distR="0" wp14:anchorId="0A0D89B7" wp14:editId="1433CFCC">
                  <wp:extent cx="2672862" cy="1720377"/>
                  <wp:effectExtent l="0" t="0" r="0" b="0"/>
                  <wp:docPr id="731930333" name="Picture 1" descr="A row of white plastic ta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930333" name="Picture 1" descr="A row of white plastic tags&#10;&#10;AI-generated content may be incorrect."/>
                          <pic:cNvPicPr/>
                        </pic:nvPicPr>
                        <pic:blipFill rotWithShape="1">
                          <a:blip r:embed="rId31">
                            <a:extLst>
                              <a:ext uri="{28A0092B-C50C-407E-A947-70E740481C1C}">
                                <a14:useLocalDpi xmlns:a14="http://schemas.microsoft.com/office/drawing/2010/main" val="0"/>
                              </a:ext>
                            </a:extLst>
                          </a:blip>
                          <a:srcRect l="10332" t="17817" r="10061" b="5277"/>
                          <a:stretch/>
                        </pic:blipFill>
                        <pic:spPr bwMode="auto">
                          <a:xfrm>
                            <a:off x="0" y="0"/>
                            <a:ext cx="2707091" cy="1742408"/>
                          </a:xfrm>
                          <a:prstGeom prst="rect">
                            <a:avLst/>
                          </a:prstGeom>
                          <a:ln>
                            <a:noFill/>
                          </a:ln>
                          <a:extLst>
                            <a:ext uri="{53640926-AAD7-44D8-BBD7-CCE9431645EC}">
                              <a14:shadowObscured xmlns:a14="http://schemas.microsoft.com/office/drawing/2010/main"/>
                            </a:ext>
                          </a:extLst>
                        </pic:spPr>
                      </pic:pic>
                    </a:graphicData>
                  </a:graphic>
                </wp:inline>
              </w:drawing>
            </w:r>
          </w:p>
        </w:tc>
      </w:tr>
    </w:tbl>
    <w:p w14:paraId="617E333F" w14:textId="2569E8BF" w:rsidR="00D36C4A" w:rsidRPr="00F719EE" w:rsidRDefault="00D36C4A" w:rsidP="00D36C4A">
      <w:pPr>
        <w:pStyle w:val="Caption"/>
        <w:rPr>
          <w:lang w:val="en-US"/>
        </w:rPr>
      </w:pPr>
      <w:r w:rsidRPr="00637C41">
        <w:rPr>
          <w:lang w:val="en-US"/>
        </w:rPr>
        <w:t xml:space="preserve">Figure </w:t>
      </w:r>
      <w:r>
        <w:rPr>
          <w:lang w:val="en-US"/>
        </w:rPr>
        <w:t>16</w:t>
      </w:r>
      <w:r w:rsidRPr="00637C41">
        <w:rPr>
          <w:lang w:val="en-US"/>
        </w:rPr>
        <w:t xml:space="preserve">: </w:t>
      </w:r>
      <w:r w:rsidRPr="00F719EE">
        <w:rPr>
          <w:lang w:val="en-US"/>
        </w:rPr>
        <w:t xml:space="preserve">Test specimens before/after tensile testing - Filament </w:t>
      </w:r>
      <w:r>
        <w:rPr>
          <w:lang w:val="en-US"/>
        </w:rPr>
        <w:t>5</w:t>
      </w:r>
      <w:r w:rsidRPr="00F719EE">
        <w:rPr>
          <w:lang w:val="en-US"/>
        </w:rPr>
        <w:t xml:space="preserve">0% flakes content: </w:t>
      </w:r>
      <w:r w:rsidRPr="00F719EE">
        <w:rPr>
          <w:b/>
          <w:bCs/>
          <w:lang w:val="en-US"/>
        </w:rPr>
        <w:t>(a)</w:t>
      </w:r>
      <w:r w:rsidRPr="00F719EE">
        <w:rPr>
          <w:lang w:val="en-US"/>
        </w:rPr>
        <w:t xml:space="preserve"> before (left) and </w:t>
      </w:r>
      <w:r w:rsidRPr="00F719EE">
        <w:rPr>
          <w:b/>
          <w:bCs/>
          <w:lang w:val="en-US"/>
        </w:rPr>
        <w:t>(b)</w:t>
      </w:r>
      <w:r w:rsidRPr="00F719EE">
        <w:rPr>
          <w:lang w:val="en-US"/>
        </w:rPr>
        <w:t xml:space="preserve"> after (right). Picture by the author.</w:t>
      </w:r>
    </w:p>
    <w:p w14:paraId="347255EB" w14:textId="57760725" w:rsidR="0072574D" w:rsidRPr="00F719EE" w:rsidRDefault="00F719EE" w:rsidP="00F719EE">
      <w:pPr>
        <w:pStyle w:val="Heading20"/>
        <w:rPr>
          <w:lang w:val="en-US"/>
        </w:rPr>
      </w:pPr>
      <w:r w:rsidRPr="00F719EE">
        <w:rPr>
          <w:lang w:val="en-US"/>
        </w:rPr>
        <w:t xml:space="preserve">Quantitative assessment results </w:t>
      </w:r>
    </w:p>
    <w:p w14:paraId="7DBBDF4E" w14:textId="184EDD5D" w:rsidR="00F719EE" w:rsidRDefault="00F719EE" w:rsidP="00F719EE">
      <w:pPr>
        <w:rPr>
          <w:lang w:val="en-US"/>
        </w:rPr>
      </w:pPr>
      <w:r w:rsidRPr="00F719EE">
        <w:rPr>
          <w:lang w:val="en-US"/>
        </w:rPr>
        <w:t>Quantitative indicator results for the selected pathways (C, 4D, E, 4F) are summarized in Table</w:t>
      </w:r>
      <w:r w:rsidR="00D36C4A">
        <w:rPr>
          <w:lang w:val="en-US"/>
        </w:rPr>
        <w:t xml:space="preserve"> 4</w:t>
      </w:r>
      <w:r w:rsidRPr="00F719EE">
        <w:rPr>
          <w:lang w:val="en-US"/>
        </w:rPr>
        <w:t>. All selected pathways showed substantial improvements compared to the baseline disposal scenario, particularly in reduced waste generation and avoided disposal impacts.</w:t>
      </w:r>
      <w:r w:rsidR="00EE22B3">
        <w:rPr>
          <w:lang w:val="en-US"/>
        </w:rPr>
        <w:t xml:space="preserve"> </w:t>
      </w:r>
      <w:r w:rsidR="00EE22B3" w:rsidRPr="00F719EE">
        <w:rPr>
          <w:lang w:val="en-US"/>
        </w:rPr>
        <w:t>The quantitative assessment revealed differences in economic, environmental, social, and technical performance among the evaluated recycling pathways.</w:t>
      </w:r>
    </w:p>
    <w:p w14:paraId="7C4D16A7" w14:textId="77777777" w:rsidR="00EE22B3" w:rsidRDefault="00EE22B3" w:rsidP="00F719EE">
      <w:pPr>
        <w:rPr>
          <w:lang w:val="en-US"/>
        </w:rPr>
      </w:pPr>
    </w:p>
    <w:p w14:paraId="4C69899F" w14:textId="5E2061AF" w:rsidR="00EE22B3" w:rsidRPr="00EE22B3" w:rsidRDefault="00D36C4A" w:rsidP="00EE22B3">
      <w:pPr>
        <w:pStyle w:val="Caption"/>
        <w:rPr>
          <w:lang w:val="en-US"/>
        </w:rPr>
      </w:pPr>
      <w:r w:rsidRPr="00D36C4A">
        <w:rPr>
          <w:lang w:val="en-US"/>
        </w:rPr>
        <w:lastRenderedPageBreak/>
        <w:t xml:space="preserve">Table </w:t>
      </w:r>
      <w:r>
        <w:rPr>
          <w:lang w:val="en-US"/>
        </w:rPr>
        <w:t>4</w:t>
      </w:r>
      <w:r w:rsidRPr="00D36C4A">
        <w:rPr>
          <w:lang w:val="en-US"/>
        </w:rPr>
        <w:t xml:space="preserve">: </w:t>
      </w:r>
      <w:r w:rsidRPr="00F719EE">
        <w:rPr>
          <w:lang w:val="en-US"/>
        </w:rPr>
        <w:t>Quantitative assessment with real data.</w:t>
      </w:r>
    </w:p>
    <w:tbl>
      <w:tblPr>
        <w:tblStyle w:val="RTe"/>
        <w:tblW w:w="9085" w:type="dxa"/>
        <w:tblLayout w:type="fixed"/>
        <w:tblLook w:val="04A0" w:firstRow="1" w:lastRow="0" w:firstColumn="1" w:lastColumn="0" w:noHBand="0" w:noVBand="1"/>
      </w:tblPr>
      <w:tblGrid>
        <w:gridCol w:w="3145"/>
        <w:gridCol w:w="1800"/>
        <w:gridCol w:w="1080"/>
        <w:gridCol w:w="990"/>
        <w:gridCol w:w="1080"/>
        <w:gridCol w:w="990"/>
      </w:tblGrid>
      <w:tr w:rsidR="00EE22B3" w:rsidRPr="00F719EE" w14:paraId="336E2680" w14:textId="77777777" w:rsidTr="00EE22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7E3BD266" w14:textId="77777777" w:rsidR="00F719EE" w:rsidRPr="00F719EE" w:rsidRDefault="00F719EE" w:rsidP="00EE22B3">
            <w:pPr>
              <w:rPr>
                <w:bCs/>
                <w:lang w:val="it-IT"/>
              </w:rPr>
            </w:pPr>
            <w:proofErr w:type="spellStart"/>
            <w:r w:rsidRPr="00F719EE">
              <w:rPr>
                <w:bCs/>
                <w:lang w:val="it-IT"/>
              </w:rPr>
              <w:t>Indicators</w:t>
            </w:r>
            <w:proofErr w:type="spellEnd"/>
          </w:p>
        </w:tc>
        <w:tc>
          <w:tcPr>
            <w:tcW w:w="1800" w:type="dxa"/>
          </w:tcPr>
          <w:p w14:paraId="58039E58" w14:textId="77777777" w:rsidR="00F719EE" w:rsidRPr="00F719EE" w:rsidRDefault="00F719EE" w:rsidP="00EE22B3">
            <w:pPr>
              <w:cnfStyle w:val="100000000000" w:firstRow="1" w:lastRow="0" w:firstColumn="0" w:lastColumn="0" w:oddVBand="0" w:evenVBand="0" w:oddHBand="0" w:evenHBand="0" w:firstRowFirstColumn="0" w:firstRowLastColumn="0" w:lastRowFirstColumn="0" w:lastRowLastColumn="0"/>
              <w:rPr>
                <w:bCs/>
                <w:lang w:val="it-IT"/>
              </w:rPr>
            </w:pPr>
            <w:r w:rsidRPr="00F719EE">
              <w:rPr>
                <w:bCs/>
                <w:lang w:val="it-IT"/>
              </w:rPr>
              <w:t>Unit</w:t>
            </w:r>
          </w:p>
        </w:tc>
        <w:tc>
          <w:tcPr>
            <w:tcW w:w="1080" w:type="dxa"/>
          </w:tcPr>
          <w:p w14:paraId="1DDE8996" w14:textId="77777777" w:rsidR="00F719EE" w:rsidRPr="00F719EE" w:rsidRDefault="00F719EE" w:rsidP="00EE22B3">
            <w:pPr>
              <w:cnfStyle w:val="100000000000" w:firstRow="1" w:lastRow="0" w:firstColumn="0" w:lastColumn="0" w:oddVBand="0" w:evenVBand="0" w:oddHBand="0" w:evenHBand="0" w:firstRowFirstColumn="0" w:firstRowLastColumn="0" w:lastRowFirstColumn="0" w:lastRowLastColumn="0"/>
              <w:rPr>
                <w:bCs/>
                <w:lang w:val="it-IT"/>
              </w:rPr>
            </w:pPr>
            <w:r w:rsidRPr="00F719EE">
              <w:rPr>
                <w:bCs/>
                <w:lang w:val="it-IT"/>
              </w:rPr>
              <w:t>C</w:t>
            </w:r>
          </w:p>
        </w:tc>
        <w:tc>
          <w:tcPr>
            <w:tcW w:w="990" w:type="dxa"/>
          </w:tcPr>
          <w:p w14:paraId="7D50FD61" w14:textId="3C2BAA3A" w:rsidR="00F719EE" w:rsidRPr="00F719EE" w:rsidRDefault="00F719EE" w:rsidP="00EE22B3">
            <w:pPr>
              <w:cnfStyle w:val="100000000000" w:firstRow="1" w:lastRow="0" w:firstColumn="0" w:lastColumn="0" w:oddVBand="0" w:evenVBand="0" w:oddHBand="0" w:evenHBand="0" w:firstRowFirstColumn="0" w:firstRowLastColumn="0" w:lastRowFirstColumn="0" w:lastRowLastColumn="0"/>
              <w:rPr>
                <w:bCs/>
                <w:lang w:val="it-IT"/>
              </w:rPr>
            </w:pPr>
            <w:r w:rsidRPr="00F719EE">
              <w:rPr>
                <w:bCs/>
                <w:lang w:val="it-IT"/>
              </w:rPr>
              <w:t>D</w:t>
            </w:r>
          </w:p>
        </w:tc>
        <w:tc>
          <w:tcPr>
            <w:tcW w:w="1080" w:type="dxa"/>
          </w:tcPr>
          <w:p w14:paraId="271573CB" w14:textId="77777777" w:rsidR="00F719EE" w:rsidRPr="00F719EE" w:rsidRDefault="00F719EE" w:rsidP="00EE22B3">
            <w:pPr>
              <w:cnfStyle w:val="100000000000" w:firstRow="1" w:lastRow="0" w:firstColumn="0" w:lastColumn="0" w:oddVBand="0" w:evenVBand="0" w:oddHBand="0" w:evenHBand="0" w:firstRowFirstColumn="0" w:firstRowLastColumn="0" w:lastRowFirstColumn="0" w:lastRowLastColumn="0"/>
              <w:rPr>
                <w:bCs/>
                <w:lang w:val="it-IT"/>
              </w:rPr>
            </w:pPr>
            <w:r w:rsidRPr="00F719EE">
              <w:rPr>
                <w:bCs/>
                <w:lang w:val="it-IT"/>
              </w:rPr>
              <w:t>E</w:t>
            </w:r>
          </w:p>
        </w:tc>
        <w:tc>
          <w:tcPr>
            <w:tcW w:w="990" w:type="dxa"/>
          </w:tcPr>
          <w:p w14:paraId="7D07E877" w14:textId="722E37ED" w:rsidR="00F719EE" w:rsidRPr="00F719EE" w:rsidRDefault="00F719EE" w:rsidP="00EE22B3">
            <w:pPr>
              <w:cnfStyle w:val="100000000000" w:firstRow="1" w:lastRow="0" w:firstColumn="0" w:lastColumn="0" w:oddVBand="0" w:evenVBand="0" w:oddHBand="0" w:evenHBand="0" w:firstRowFirstColumn="0" w:firstRowLastColumn="0" w:lastRowFirstColumn="0" w:lastRowLastColumn="0"/>
              <w:rPr>
                <w:bCs/>
                <w:lang w:val="it-IT"/>
              </w:rPr>
            </w:pPr>
            <w:r w:rsidRPr="00F719EE">
              <w:rPr>
                <w:bCs/>
                <w:lang w:val="it-IT"/>
              </w:rPr>
              <w:t>F</w:t>
            </w:r>
          </w:p>
        </w:tc>
      </w:tr>
      <w:tr w:rsidR="00EE22B3" w:rsidRPr="00F719EE" w14:paraId="05F69436" w14:textId="77777777" w:rsidTr="00EE22B3">
        <w:tc>
          <w:tcPr>
            <w:cnfStyle w:val="001000000000" w:firstRow="0" w:lastRow="0" w:firstColumn="1" w:lastColumn="0" w:oddVBand="0" w:evenVBand="0" w:oddHBand="0" w:evenHBand="0" w:firstRowFirstColumn="0" w:firstRowLastColumn="0" w:lastRowFirstColumn="0" w:lastRowLastColumn="0"/>
            <w:tcW w:w="3145" w:type="dxa"/>
          </w:tcPr>
          <w:p w14:paraId="23C7CD5A" w14:textId="77777777" w:rsidR="00F719EE" w:rsidRPr="00F719EE" w:rsidRDefault="00F719EE" w:rsidP="00EE22B3">
            <w:pPr>
              <w:rPr>
                <w:lang w:val="en-US"/>
              </w:rPr>
            </w:pPr>
            <w:r w:rsidRPr="00F719EE">
              <w:rPr>
                <w:lang w:val="en-US"/>
              </w:rPr>
              <w:t>Recycled flakes quant.</w:t>
            </w:r>
          </w:p>
        </w:tc>
        <w:tc>
          <w:tcPr>
            <w:tcW w:w="1800" w:type="dxa"/>
          </w:tcPr>
          <w:p w14:paraId="431DA8CC"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[kg/spool]</w:t>
            </w:r>
          </w:p>
        </w:tc>
        <w:tc>
          <w:tcPr>
            <w:tcW w:w="1080" w:type="dxa"/>
          </w:tcPr>
          <w:p w14:paraId="63E16F4D"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1.67</w:t>
            </w:r>
          </w:p>
        </w:tc>
        <w:tc>
          <w:tcPr>
            <w:tcW w:w="990" w:type="dxa"/>
          </w:tcPr>
          <w:p w14:paraId="5A77CAF7"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0.63</w:t>
            </w:r>
          </w:p>
        </w:tc>
        <w:tc>
          <w:tcPr>
            <w:tcW w:w="1080" w:type="dxa"/>
          </w:tcPr>
          <w:p w14:paraId="40B25872"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1.67</w:t>
            </w:r>
          </w:p>
        </w:tc>
        <w:tc>
          <w:tcPr>
            <w:tcW w:w="990" w:type="dxa"/>
          </w:tcPr>
          <w:p w14:paraId="14F7EAC7"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0.63</w:t>
            </w:r>
          </w:p>
        </w:tc>
      </w:tr>
      <w:tr w:rsidR="00EE22B3" w:rsidRPr="00F719EE" w14:paraId="06B93CCE" w14:textId="77777777" w:rsidTr="00EE22B3">
        <w:tc>
          <w:tcPr>
            <w:cnfStyle w:val="001000000000" w:firstRow="0" w:lastRow="0" w:firstColumn="1" w:lastColumn="0" w:oddVBand="0" w:evenVBand="0" w:oddHBand="0" w:evenHBand="0" w:firstRowFirstColumn="0" w:firstRowLastColumn="0" w:lastRowFirstColumn="0" w:lastRowLastColumn="0"/>
            <w:tcW w:w="3145" w:type="dxa"/>
          </w:tcPr>
          <w:p w14:paraId="5FA08CC5" w14:textId="77777777" w:rsidR="00F719EE" w:rsidRPr="00F719EE" w:rsidRDefault="00F719EE" w:rsidP="00EE22B3">
            <w:pPr>
              <w:rPr>
                <w:lang w:val="en-US"/>
              </w:rPr>
            </w:pPr>
            <w:r w:rsidRPr="00F719EE">
              <w:rPr>
                <w:lang w:val="en-US"/>
              </w:rPr>
              <w:t>Recycled powder quant.</w:t>
            </w:r>
          </w:p>
        </w:tc>
        <w:tc>
          <w:tcPr>
            <w:tcW w:w="1800" w:type="dxa"/>
          </w:tcPr>
          <w:p w14:paraId="2D454167"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[kg/spool]</w:t>
            </w:r>
          </w:p>
        </w:tc>
        <w:tc>
          <w:tcPr>
            <w:tcW w:w="1080" w:type="dxa"/>
          </w:tcPr>
          <w:p w14:paraId="54EACC1B"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0</w:t>
            </w:r>
          </w:p>
        </w:tc>
        <w:tc>
          <w:tcPr>
            <w:tcW w:w="990" w:type="dxa"/>
          </w:tcPr>
          <w:p w14:paraId="4EA510C8"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0.63</w:t>
            </w:r>
          </w:p>
        </w:tc>
        <w:tc>
          <w:tcPr>
            <w:tcW w:w="1080" w:type="dxa"/>
          </w:tcPr>
          <w:p w14:paraId="2D81B4DB"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0</w:t>
            </w:r>
          </w:p>
        </w:tc>
        <w:tc>
          <w:tcPr>
            <w:tcW w:w="990" w:type="dxa"/>
          </w:tcPr>
          <w:p w14:paraId="6403F41F"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0.63</w:t>
            </w:r>
          </w:p>
        </w:tc>
      </w:tr>
      <w:tr w:rsidR="00EE22B3" w:rsidRPr="00F719EE" w14:paraId="51F5C52A" w14:textId="77777777" w:rsidTr="00EE22B3">
        <w:tc>
          <w:tcPr>
            <w:cnfStyle w:val="001000000000" w:firstRow="0" w:lastRow="0" w:firstColumn="1" w:lastColumn="0" w:oddVBand="0" w:evenVBand="0" w:oddHBand="0" w:evenHBand="0" w:firstRowFirstColumn="0" w:firstRowLastColumn="0" w:lastRowFirstColumn="0" w:lastRowLastColumn="0"/>
            <w:tcW w:w="3145" w:type="dxa"/>
          </w:tcPr>
          <w:p w14:paraId="0B5E61C3" w14:textId="77777777" w:rsidR="00F719EE" w:rsidRPr="00F719EE" w:rsidRDefault="00F719EE" w:rsidP="00EE22B3">
            <w:pPr>
              <w:rPr>
                <w:lang w:val="en-US"/>
              </w:rPr>
            </w:pPr>
            <w:r w:rsidRPr="00F719EE">
              <w:rPr>
                <w:lang w:val="en-US"/>
              </w:rPr>
              <w:t>SD elongation at break</w:t>
            </w:r>
          </w:p>
        </w:tc>
        <w:tc>
          <w:tcPr>
            <w:tcW w:w="1800" w:type="dxa"/>
          </w:tcPr>
          <w:p w14:paraId="3ED92EC9"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w:t>
            </w:r>
          </w:p>
        </w:tc>
        <w:tc>
          <w:tcPr>
            <w:tcW w:w="1080" w:type="dxa"/>
          </w:tcPr>
          <w:p w14:paraId="2CE4B0A9"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36.03</w:t>
            </w:r>
          </w:p>
        </w:tc>
        <w:tc>
          <w:tcPr>
            <w:tcW w:w="990" w:type="dxa"/>
          </w:tcPr>
          <w:p w14:paraId="5C59FC7D"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12.92</w:t>
            </w:r>
          </w:p>
        </w:tc>
        <w:tc>
          <w:tcPr>
            <w:tcW w:w="1080" w:type="dxa"/>
          </w:tcPr>
          <w:p w14:paraId="033830FD"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36.03</w:t>
            </w:r>
          </w:p>
        </w:tc>
        <w:tc>
          <w:tcPr>
            <w:tcW w:w="990" w:type="dxa"/>
          </w:tcPr>
          <w:p w14:paraId="1DBC0AC4"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12.92</w:t>
            </w:r>
          </w:p>
        </w:tc>
      </w:tr>
      <w:tr w:rsidR="00EE22B3" w:rsidRPr="00F719EE" w14:paraId="3634BC2E" w14:textId="77777777" w:rsidTr="00EE22B3">
        <w:tc>
          <w:tcPr>
            <w:cnfStyle w:val="001000000000" w:firstRow="0" w:lastRow="0" w:firstColumn="1" w:lastColumn="0" w:oddVBand="0" w:evenVBand="0" w:oddHBand="0" w:evenHBand="0" w:firstRowFirstColumn="0" w:firstRowLastColumn="0" w:lastRowFirstColumn="0" w:lastRowLastColumn="0"/>
            <w:tcW w:w="3145" w:type="dxa"/>
          </w:tcPr>
          <w:p w14:paraId="5C99C36F" w14:textId="77777777" w:rsidR="00F719EE" w:rsidRPr="00F719EE" w:rsidRDefault="00F719EE" w:rsidP="00EE22B3">
            <w:pPr>
              <w:rPr>
                <w:lang w:val="en-US"/>
              </w:rPr>
            </w:pPr>
            <w:r w:rsidRPr="00F719EE">
              <w:rPr>
                <w:lang w:val="en-US"/>
              </w:rPr>
              <w:t xml:space="preserve">Total vehicle distance </w:t>
            </w:r>
          </w:p>
        </w:tc>
        <w:tc>
          <w:tcPr>
            <w:tcW w:w="1800" w:type="dxa"/>
          </w:tcPr>
          <w:p w14:paraId="11EB57BD"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[km]</w:t>
            </w:r>
          </w:p>
        </w:tc>
        <w:tc>
          <w:tcPr>
            <w:tcW w:w="1080" w:type="dxa"/>
          </w:tcPr>
          <w:p w14:paraId="0C919C0B"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13814</w:t>
            </w:r>
          </w:p>
        </w:tc>
        <w:tc>
          <w:tcPr>
            <w:tcW w:w="990" w:type="dxa"/>
          </w:tcPr>
          <w:p w14:paraId="491C162E"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14553</w:t>
            </w:r>
          </w:p>
        </w:tc>
        <w:tc>
          <w:tcPr>
            <w:tcW w:w="1080" w:type="dxa"/>
          </w:tcPr>
          <w:p w14:paraId="558BC7CA"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3818</w:t>
            </w:r>
          </w:p>
        </w:tc>
        <w:tc>
          <w:tcPr>
            <w:tcW w:w="990" w:type="dxa"/>
          </w:tcPr>
          <w:p w14:paraId="6E7C6B7E"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4292</w:t>
            </w:r>
          </w:p>
        </w:tc>
      </w:tr>
      <w:tr w:rsidR="00EE22B3" w:rsidRPr="00F719EE" w14:paraId="51FAC3FE" w14:textId="77777777" w:rsidTr="00EE22B3">
        <w:tc>
          <w:tcPr>
            <w:cnfStyle w:val="001000000000" w:firstRow="0" w:lastRow="0" w:firstColumn="1" w:lastColumn="0" w:oddVBand="0" w:evenVBand="0" w:oddHBand="0" w:evenHBand="0" w:firstRowFirstColumn="0" w:firstRowLastColumn="0" w:lastRowFirstColumn="0" w:lastRowLastColumn="0"/>
            <w:tcW w:w="3145" w:type="dxa"/>
          </w:tcPr>
          <w:p w14:paraId="202410D9" w14:textId="77777777" w:rsidR="00F719EE" w:rsidRPr="00F719EE" w:rsidRDefault="00F719EE" w:rsidP="00EE22B3">
            <w:pPr>
              <w:rPr>
                <w:lang w:val="en-US"/>
              </w:rPr>
            </w:pPr>
            <w:r w:rsidRPr="00F719EE">
              <w:rPr>
                <w:lang w:val="en-US"/>
              </w:rPr>
              <w:t>Energy used for transp.</w:t>
            </w:r>
          </w:p>
        </w:tc>
        <w:tc>
          <w:tcPr>
            <w:tcW w:w="1800" w:type="dxa"/>
          </w:tcPr>
          <w:p w14:paraId="22A70A09"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[kWh]</w:t>
            </w:r>
          </w:p>
        </w:tc>
        <w:tc>
          <w:tcPr>
            <w:tcW w:w="1080" w:type="dxa"/>
          </w:tcPr>
          <w:p w14:paraId="7D38AD65"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127.08</w:t>
            </w:r>
          </w:p>
        </w:tc>
        <w:tc>
          <w:tcPr>
            <w:tcW w:w="990" w:type="dxa"/>
          </w:tcPr>
          <w:p w14:paraId="0260E964"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416.44</w:t>
            </w:r>
          </w:p>
        </w:tc>
        <w:tc>
          <w:tcPr>
            <w:tcW w:w="1080" w:type="dxa"/>
          </w:tcPr>
          <w:p w14:paraId="5AE651CE"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87.93</w:t>
            </w:r>
          </w:p>
        </w:tc>
        <w:tc>
          <w:tcPr>
            <w:tcW w:w="990" w:type="dxa"/>
          </w:tcPr>
          <w:p w14:paraId="50DD39AF"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274.95</w:t>
            </w:r>
          </w:p>
        </w:tc>
      </w:tr>
      <w:tr w:rsidR="00EE22B3" w:rsidRPr="00F719EE" w14:paraId="59BE79A3" w14:textId="77777777" w:rsidTr="00EE22B3">
        <w:tc>
          <w:tcPr>
            <w:cnfStyle w:val="001000000000" w:firstRow="0" w:lastRow="0" w:firstColumn="1" w:lastColumn="0" w:oddVBand="0" w:evenVBand="0" w:oddHBand="0" w:evenHBand="0" w:firstRowFirstColumn="0" w:firstRowLastColumn="0" w:lastRowFirstColumn="0" w:lastRowLastColumn="0"/>
            <w:tcW w:w="3145" w:type="dxa"/>
          </w:tcPr>
          <w:p w14:paraId="1C3DC3D0" w14:textId="77777777" w:rsidR="00F719EE" w:rsidRPr="00F719EE" w:rsidRDefault="00F719EE" w:rsidP="00EE22B3">
            <w:pPr>
              <w:rPr>
                <w:lang w:val="en-US"/>
              </w:rPr>
            </w:pPr>
            <w:r w:rsidRPr="00F719EE">
              <w:rPr>
                <w:lang w:val="en-US"/>
              </w:rPr>
              <w:t xml:space="preserve">Time required </w:t>
            </w:r>
          </w:p>
        </w:tc>
        <w:tc>
          <w:tcPr>
            <w:tcW w:w="1800" w:type="dxa"/>
          </w:tcPr>
          <w:p w14:paraId="088DC28E"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[days]</w:t>
            </w:r>
          </w:p>
        </w:tc>
        <w:tc>
          <w:tcPr>
            <w:tcW w:w="1080" w:type="dxa"/>
          </w:tcPr>
          <w:p w14:paraId="416D79B5"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67</w:t>
            </w:r>
          </w:p>
        </w:tc>
        <w:tc>
          <w:tcPr>
            <w:tcW w:w="990" w:type="dxa"/>
          </w:tcPr>
          <w:p w14:paraId="1FE2F078"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67</w:t>
            </w:r>
          </w:p>
        </w:tc>
        <w:tc>
          <w:tcPr>
            <w:tcW w:w="1080" w:type="dxa"/>
          </w:tcPr>
          <w:p w14:paraId="602FEBA8"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34</w:t>
            </w:r>
          </w:p>
        </w:tc>
        <w:tc>
          <w:tcPr>
            <w:tcW w:w="990" w:type="dxa"/>
          </w:tcPr>
          <w:p w14:paraId="2970717C"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34</w:t>
            </w:r>
          </w:p>
        </w:tc>
      </w:tr>
      <w:tr w:rsidR="00EE22B3" w:rsidRPr="00F719EE" w14:paraId="0618D794" w14:textId="77777777" w:rsidTr="00EE22B3">
        <w:tc>
          <w:tcPr>
            <w:cnfStyle w:val="001000000000" w:firstRow="0" w:lastRow="0" w:firstColumn="1" w:lastColumn="0" w:oddVBand="0" w:evenVBand="0" w:oddHBand="0" w:evenHBand="0" w:firstRowFirstColumn="0" w:firstRowLastColumn="0" w:lastRowFirstColumn="0" w:lastRowLastColumn="0"/>
            <w:tcW w:w="3145" w:type="dxa"/>
          </w:tcPr>
          <w:p w14:paraId="7B4D4903" w14:textId="77777777" w:rsidR="00F719EE" w:rsidRPr="00F719EE" w:rsidRDefault="00F719EE" w:rsidP="00EE22B3">
            <w:pPr>
              <w:rPr>
                <w:lang w:val="en-US"/>
              </w:rPr>
            </w:pPr>
            <w:r w:rsidRPr="00F719EE">
              <w:rPr>
                <w:lang w:val="en-US"/>
              </w:rPr>
              <w:t>CO₂ emissions transp.</w:t>
            </w:r>
          </w:p>
        </w:tc>
        <w:tc>
          <w:tcPr>
            <w:tcW w:w="1800" w:type="dxa"/>
          </w:tcPr>
          <w:p w14:paraId="5EF70062"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w:t>
            </w:r>
            <w:proofErr w:type="spellStart"/>
            <w:r w:rsidRPr="00F719EE">
              <w:rPr>
                <w:lang w:val="en-US"/>
              </w:rPr>
              <w:t>kgCO₂eq</w:t>
            </w:r>
            <w:proofErr w:type="spellEnd"/>
            <w:r w:rsidRPr="00F719EE">
              <w:rPr>
                <w:lang w:val="en-US"/>
              </w:rPr>
              <w:t>]</w:t>
            </w:r>
          </w:p>
        </w:tc>
        <w:tc>
          <w:tcPr>
            <w:tcW w:w="1080" w:type="dxa"/>
          </w:tcPr>
          <w:p w14:paraId="44D69907"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46.76</w:t>
            </w:r>
          </w:p>
        </w:tc>
        <w:tc>
          <w:tcPr>
            <w:tcW w:w="990" w:type="dxa"/>
          </w:tcPr>
          <w:p w14:paraId="77B96AD2"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129.44</w:t>
            </w:r>
          </w:p>
        </w:tc>
        <w:tc>
          <w:tcPr>
            <w:tcW w:w="1080" w:type="dxa"/>
          </w:tcPr>
          <w:p w14:paraId="1F43ECDB"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22.72</w:t>
            </w:r>
          </w:p>
        </w:tc>
        <w:tc>
          <w:tcPr>
            <w:tcW w:w="990" w:type="dxa"/>
          </w:tcPr>
          <w:p w14:paraId="0BE25D10"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75.51</w:t>
            </w:r>
          </w:p>
        </w:tc>
      </w:tr>
      <w:tr w:rsidR="00EE22B3" w:rsidRPr="00F719EE" w14:paraId="0D9229CD" w14:textId="77777777" w:rsidTr="00EE22B3">
        <w:tc>
          <w:tcPr>
            <w:cnfStyle w:val="001000000000" w:firstRow="0" w:lastRow="0" w:firstColumn="1" w:lastColumn="0" w:oddVBand="0" w:evenVBand="0" w:oddHBand="0" w:evenHBand="0" w:firstRowFirstColumn="0" w:firstRowLastColumn="0" w:lastRowFirstColumn="0" w:lastRowLastColumn="0"/>
            <w:tcW w:w="3145" w:type="dxa"/>
          </w:tcPr>
          <w:p w14:paraId="0212F50D" w14:textId="77777777" w:rsidR="00F719EE" w:rsidRPr="00F719EE" w:rsidRDefault="00F719EE" w:rsidP="00EE22B3">
            <w:pPr>
              <w:rPr>
                <w:lang w:val="en-US"/>
              </w:rPr>
            </w:pPr>
            <w:r w:rsidRPr="00F719EE">
              <w:rPr>
                <w:lang w:val="en-US"/>
              </w:rPr>
              <w:t xml:space="preserve">CO₂ emissions equipment </w:t>
            </w:r>
          </w:p>
        </w:tc>
        <w:tc>
          <w:tcPr>
            <w:tcW w:w="1800" w:type="dxa"/>
          </w:tcPr>
          <w:p w14:paraId="2C4FB49D"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w:t>
            </w:r>
            <w:proofErr w:type="spellStart"/>
            <w:r w:rsidRPr="00F719EE">
              <w:rPr>
                <w:lang w:val="en-US"/>
              </w:rPr>
              <w:t>kgCO₂eq</w:t>
            </w:r>
            <w:proofErr w:type="spellEnd"/>
            <w:r w:rsidRPr="00F719EE">
              <w:rPr>
                <w:lang w:val="en-US"/>
              </w:rPr>
              <w:t>/spool]</w:t>
            </w:r>
          </w:p>
        </w:tc>
        <w:tc>
          <w:tcPr>
            <w:tcW w:w="1080" w:type="dxa"/>
          </w:tcPr>
          <w:p w14:paraId="08D0AA0E"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0.0114</w:t>
            </w:r>
          </w:p>
        </w:tc>
        <w:tc>
          <w:tcPr>
            <w:tcW w:w="990" w:type="dxa"/>
          </w:tcPr>
          <w:p w14:paraId="48189C59"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0.0043</w:t>
            </w:r>
          </w:p>
        </w:tc>
        <w:tc>
          <w:tcPr>
            <w:tcW w:w="1080" w:type="dxa"/>
          </w:tcPr>
          <w:p w14:paraId="7332E430"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0.0114</w:t>
            </w:r>
          </w:p>
        </w:tc>
        <w:tc>
          <w:tcPr>
            <w:tcW w:w="990" w:type="dxa"/>
          </w:tcPr>
          <w:p w14:paraId="0268E7D3"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0.0043</w:t>
            </w:r>
          </w:p>
        </w:tc>
      </w:tr>
      <w:tr w:rsidR="00EE22B3" w:rsidRPr="00F719EE" w14:paraId="1E22563B" w14:textId="77777777" w:rsidTr="00EE22B3">
        <w:tc>
          <w:tcPr>
            <w:cnfStyle w:val="001000000000" w:firstRow="0" w:lastRow="0" w:firstColumn="1" w:lastColumn="0" w:oddVBand="0" w:evenVBand="0" w:oddHBand="0" w:evenHBand="0" w:firstRowFirstColumn="0" w:firstRowLastColumn="0" w:lastRowFirstColumn="0" w:lastRowLastColumn="0"/>
            <w:tcW w:w="3145" w:type="dxa"/>
          </w:tcPr>
          <w:p w14:paraId="3B5A4E07" w14:textId="72247C86" w:rsidR="00F719EE" w:rsidRPr="00F719EE" w:rsidRDefault="00F719EE" w:rsidP="00EE22B3">
            <w:pPr>
              <w:rPr>
                <w:lang w:val="it-IT"/>
              </w:rPr>
            </w:pPr>
            <w:proofErr w:type="spellStart"/>
            <w:r w:rsidRPr="00F719EE">
              <w:rPr>
                <w:lang w:val="it-IT"/>
              </w:rPr>
              <w:t>Noise</w:t>
            </w:r>
            <w:proofErr w:type="spellEnd"/>
            <w:r w:rsidRPr="00F719EE">
              <w:rPr>
                <w:lang w:val="it-IT"/>
              </w:rPr>
              <w:t xml:space="preserve"> duration </w:t>
            </w:r>
          </w:p>
        </w:tc>
        <w:tc>
          <w:tcPr>
            <w:tcW w:w="1800" w:type="dxa"/>
          </w:tcPr>
          <w:p w14:paraId="12704800"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it-IT"/>
              </w:rPr>
            </w:pPr>
            <w:r w:rsidRPr="00F719EE">
              <w:rPr>
                <w:lang w:val="it-IT"/>
              </w:rPr>
              <w:t>[min/</w:t>
            </w:r>
            <w:proofErr w:type="spellStart"/>
            <w:r w:rsidRPr="00F719EE">
              <w:rPr>
                <w:lang w:val="it-IT"/>
              </w:rPr>
              <w:t>spool</w:t>
            </w:r>
            <w:proofErr w:type="spellEnd"/>
            <w:r w:rsidRPr="00F719EE">
              <w:rPr>
                <w:lang w:val="it-IT"/>
              </w:rPr>
              <w:t>]</w:t>
            </w:r>
          </w:p>
        </w:tc>
        <w:tc>
          <w:tcPr>
            <w:tcW w:w="1080" w:type="dxa"/>
          </w:tcPr>
          <w:p w14:paraId="7886D93A"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it-IT"/>
              </w:rPr>
            </w:pPr>
            <w:r w:rsidRPr="00F719EE">
              <w:rPr>
                <w:lang w:val="it-IT"/>
              </w:rPr>
              <w:t>0.4</w:t>
            </w:r>
          </w:p>
        </w:tc>
        <w:tc>
          <w:tcPr>
            <w:tcW w:w="990" w:type="dxa"/>
          </w:tcPr>
          <w:p w14:paraId="68486CDF"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it-IT"/>
              </w:rPr>
            </w:pPr>
            <w:r w:rsidRPr="00F719EE">
              <w:rPr>
                <w:lang w:val="it-IT"/>
              </w:rPr>
              <w:t>0.15</w:t>
            </w:r>
          </w:p>
        </w:tc>
        <w:tc>
          <w:tcPr>
            <w:tcW w:w="1080" w:type="dxa"/>
          </w:tcPr>
          <w:p w14:paraId="3D8588F2"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it-IT"/>
              </w:rPr>
            </w:pPr>
            <w:r w:rsidRPr="00F719EE">
              <w:rPr>
                <w:lang w:val="it-IT"/>
              </w:rPr>
              <w:t>0.4</w:t>
            </w:r>
          </w:p>
        </w:tc>
        <w:tc>
          <w:tcPr>
            <w:tcW w:w="990" w:type="dxa"/>
          </w:tcPr>
          <w:p w14:paraId="46E36EE6"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it-IT"/>
              </w:rPr>
            </w:pPr>
            <w:r w:rsidRPr="00F719EE">
              <w:rPr>
                <w:lang w:val="it-IT"/>
              </w:rPr>
              <w:t>0.15</w:t>
            </w:r>
          </w:p>
        </w:tc>
      </w:tr>
      <w:tr w:rsidR="00EE22B3" w:rsidRPr="00F719EE" w14:paraId="5467F277" w14:textId="77777777" w:rsidTr="00EE22B3">
        <w:tc>
          <w:tcPr>
            <w:cnfStyle w:val="001000000000" w:firstRow="0" w:lastRow="0" w:firstColumn="1" w:lastColumn="0" w:oddVBand="0" w:evenVBand="0" w:oddHBand="0" w:evenHBand="0" w:firstRowFirstColumn="0" w:firstRowLastColumn="0" w:lastRowFirstColumn="0" w:lastRowLastColumn="0"/>
            <w:tcW w:w="3145" w:type="dxa"/>
          </w:tcPr>
          <w:p w14:paraId="2652E5C2" w14:textId="77777777" w:rsidR="00F719EE" w:rsidRPr="00F719EE" w:rsidRDefault="00F719EE" w:rsidP="00EE22B3">
            <w:pPr>
              <w:rPr>
                <w:lang w:val="en-US"/>
              </w:rPr>
            </w:pPr>
            <w:r w:rsidRPr="00F719EE">
              <w:rPr>
                <w:lang w:val="en-US"/>
              </w:rPr>
              <w:t xml:space="preserve">Preference (pathway) </w:t>
            </w:r>
          </w:p>
        </w:tc>
        <w:tc>
          <w:tcPr>
            <w:tcW w:w="1800" w:type="dxa"/>
          </w:tcPr>
          <w:p w14:paraId="55451286"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w:t>
            </w:r>
          </w:p>
        </w:tc>
        <w:tc>
          <w:tcPr>
            <w:tcW w:w="1080" w:type="dxa"/>
          </w:tcPr>
          <w:p w14:paraId="55E490B8"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84.62</w:t>
            </w:r>
          </w:p>
        </w:tc>
        <w:tc>
          <w:tcPr>
            <w:tcW w:w="990" w:type="dxa"/>
          </w:tcPr>
          <w:p w14:paraId="3C90CE37"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15.38</w:t>
            </w:r>
          </w:p>
        </w:tc>
        <w:tc>
          <w:tcPr>
            <w:tcW w:w="1080" w:type="dxa"/>
          </w:tcPr>
          <w:p w14:paraId="1A43F8FD"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84.62</w:t>
            </w:r>
          </w:p>
        </w:tc>
        <w:tc>
          <w:tcPr>
            <w:tcW w:w="990" w:type="dxa"/>
          </w:tcPr>
          <w:p w14:paraId="3CB3AFB1"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15.38</w:t>
            </w:r>
          </w:p>
        </w:tc>
      </w:tr>
      <w:tr w:rsidR="00EE22B3" w:rsidRPr="00F719EE" w14:paraId="0CF506ED" w14:textId="77777777" w:rsidTr="00EE22B3">
        <w:tc>
          <w:tcPr>
            <w:cnfStyle w:val="001000000000" w:firstRow="0" w:lastRow="0" w:firstColumn="1" w:lastColumn="0" w:oddVBand="0" w:evenVBand="0" w:oddHBand="0" w:evenHBand="0" w:firstRowFirstColumn="0" w:firstRowLastColumn="0" w:lastRowFirstColumn="0" w:lastRowLastColumn="0"/>
            <w:tcW w:w="3145" w:type="dxa"/>
          </w:tcPr>
          <w:p w14:paraId="32CD9EEA" w14:textId="77777777" w:rsidR="00F719EE" w:rsidRPr="00F719EE" w:rsidRDefault="00F719EE" w:rsidP="00EE22B3">
            <w:pPr>
              <w:rPr>
                <w:lang w:val="en-US"/>
              </w:rPr>
            </w:pPr>
            <w:r w:rsidRPr="00F719EE">
              <w:rPr>
                <w:lang w:val="en-US"/>
              </w:rPr>
              <w:t xml:space="preserve">Preference (filament) </w:t>
            </w:r>
          </w:p>
        </w:tc>
        <w:tc>
          <w:tcPr>
            <w:tcW w:w="1800" w:type="dxa"/>
          </w:tcPr>
          <w:p w14:paraId="15564F20"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w:t>
            </w:r>
          </w:p>
        </w:tc>
        <w:tc>
          <w:tcPr>
            <w:tcW w:w="1080" w:type="dxa"/>
          </w:tcPr>
          <w:p w14:paraId="2B26497B"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67</w:t>
            </w:r>
          </w:p>
        </w:tc>
        <w:tc>
          <w:tcPr>
            <w:tcW w:w="990" w:type="dxa"/>
          </w:tcPr>
          <w:p w14:paraId="76DDB8C4"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33</w:t>
            </w:r>
          </w:p>
        </w:tc>
        <w:tc>
          <w:tcPr>
            <w:tcW w:w="1080" w:type="dxa"/>
          </w:tcPr>
          <w:p w14:paraId="3306232D"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67</w:t>
            </w:r>
          </w:p>
        </w:tc>
        <w:tc>
          <w:tcPr>
            <w:tcW w:w="990" w:type="dxa"/>
          </w:tcPr>
          <w:p w14:paraId="0D804573"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33</w:t>
            </w:r>
          </w:p>
        </w:tc>
      </w:tr>
      <w:tr w:rsidR="00EE22B3" w:rsidRPr="00F719EE" w14:paraId="27105FE5" w14:textId="77777777" w:rsidTr="00EE22B3">
        <w:tc>
          <w:tcPr>
            <w:cnfStyle w:val="001000000000" w:firstRow="0" w:lastRow="0" w:firstColumn="1" w:lastColumn="0" w:oddVBand="0" w:evenVBand="0" w:oddHBand="0" w:evenHBand="0" w:firstRowFirstColumn="0" w:firstRowLastColumn="0" w:lastRowFirstColumn="0" w:lastRowLastColumn="0"/>
            <w:tcW w:w="3145" w:type="dxa"/>
          </w:tcPr>
          <w:p w14:paraId="2F1763C7" w14:textId="77777777" w:rsidR="00F719EE" w:rsidRPr="00F719EE" w:rsidRDefault="00F719EE" w:rsidP="00EE22B3">
            <w:pPr>
              <w:rPr>
                <w:lang w:val="en-US"/>
              </w:rPr>
            </w:pPr>
            <w:r w:rsidRPr="00F719EE">
              <w:rPr>
                <w:lang w:val="en-US"/>
              </w:rPr>
              <w:t xml:space="preserve">Ease of management </w:t>
            </w:r>
          </w:p>
        </w:tc>
        <w:tc>
          <w:tcPr>
            <w:tcW w:w="1800" w:type="dxa"/>
          </w:tcPr>
          <w:p w14:paraId="2F5B8D2E"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w:t>
            </w:r>
          </w:p>
        </w:tc>
        <w:tc>
          <w:tcPr>
            <w:tcW w:w="1080" w:type="dxa"/>
          </w:tcPr>
          <w:p w14:paraId="6643E6EA"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0</w:t>
            </w:r>
          </w:p>
        </w:tc>
        <w:tc>
          <w:tcPr>
            <w:tcW w:w="990" w:type="dxa"/>
          </w:tcPr>
          <w:p w14:paraId="55FE8A9B"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0</w:t>
            </w:r>
          </w:p>
        </w:tc>
        <w:tc>
          <w:tcPr>
            <w:tcW w:w="1080" w:type="dxa"/>
          </w:tcPr>
          <w:p w14:paraId="21182FDB"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100</w:t>
            </w:r>
          </w:p>
        </w:tc>
        <w:tc>
          <w:tcPr>
            <w:tcW w:w="990" w:type="dxa"/>
          </w:tcPr>
          <w:p w14:paraId="37F0AC57"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100</w:t>
            </w:r>
          </w:p>
        </w:tc>
      </w:tr>
      <w:tr w:rsidR="00EE22B3" w:rsidRPr="00F719EE" w14:paraId="4760A730" w14:textId="77777777" w:rsidTr="00EE22B3">
        <w:tc>
          <w:tcPr>
            <w:cnfStyle w:val="001000000000" w:firstRow="0" w:lastRow="0" w:firstColumn="1" w:lastColumn="0" w:oddVBand="0" w:evenVBand="0" w:oddHBand="0" w:evenHBand="0" w:firstRowFirstColumn="0" w:firstRowLastColumn="0" w:lastRowFirstColumn="0" w:lastRowLastColumn="0"/>
            <w:tcW w:w="3145" w:type="dxa"/>
          </w:tcPr>
          <w:p w14:paraId="3A3BA950" w14:textId="77777777" w:rsidR="00F719EE" w:rsidRPr="00F719EE" w:rsidRDefault="00F719EE" w:rsidP="00EE22B3">
            <w:pPr>
              <w:rPr>
                <w:lang w:val="en-US"/>
              </w:rPr>
            </w:pPr>
            <w:r w:rsidRPr="00F719EE">
              <w:rPr>
                <w:lang w:val="en-US"/>
              </w:rPr>
              <w:t xml:space="preserve">Number of manual steps </w:t>
            </w:r>
          </w:p>
        </w:tc>
        <w:tc>
          <w:tcPr>
            <w:tcW w:w="1800" w:type="dxa"/>
          </w:tcPr>
          <w:p w14:paraId="1DDB22BA"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[N]</w:t>
            </w:r>
          </w:p>
        </w:tc>
        <w:tc>
          <w:tcPr>
            <w:tcW w:w="1080" w:type="dxa"/>
          </w:tcPr>
          <w:p w14:paraId="7AD00A0A"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3</w:t>
            </w:r>
          </w:p>
        </w:tc>
        <w:tc>
          <w:tcPr>
            <w:tcW w:w="990" w:type="dxa"/>
          </w:tcPr>
          <w:p w14:paraId="1A1E24FC"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5</w:t>
            </w:r>
          </w:p>
        </w:tc>
        <w:tc>
          <w:tcPr>
            <w:tcW w:w="1080" w:type="dxa"/>
          </w:tcPr>
          <w:p w14:paraId="117D9B0F"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3</w:t>
            </w:r>
          </w:p>
        </w:tc>
        <w:tc>
          <w:tcPr>
            <w:tcW w:w="990" w:type="dxa"/>
          </w:tcPr>
          <w:p w14:paraId="1AB25B2E" w14:textId="77777777" w:rsidR="00F719EE" w:rsidRPr="00F719EE" w:rsidRDefault="00F719EE" w:rsidP="00EE22B3">
            <w:pPr>
              <w:cnfStyle w:val="000000000000" w:firstRow="0" w:lastRow="0" w:firstColumn="0" w:lastColumn="0" w:oddVBand="0" w:evenVBand="0" w:oddHBand="0" w:evenHBand="0" w:firstRowFirstColumn="0" w:firstRowLastColumn="0" w:lastRowFirstColumn="0" w:lastRowLastColumn="0"/>
              <w:rPr>
                <w:lang w:val="en-US"/>
              </w:rPr>
            </w:pPr>
            <w:r w:rsidRPr="00F719EE">
              <w:rPr>
                <w:lang w:val="en-US"/>
              </w:rPr>
              <w:t>5</w:t>
            </w:r>
          </w:p>
        </w:tc>
      </w:tr>
    </w:tbl>
    <w:p w14:paraId="1805CE49" w14:textId="781D3D38" w:rsidR="00F719EE" w:rsidRDefault="00F719EE" w:rsidP="00EE22B3">
      <w:pPr>
        <w:spacing w:before="240"/>
        <w:rPr>
          <w:lang w:val="en-US"/>
        </w:rPr>
      </w:pPr>
      <w:r w:rsidRPr="00F719EE">
        <w:rPr>
          <w:lang w:val="en-US"/>
        </w:rPr>
        <w:t>Technical performance differed across pathways as a function of material stability and process robustness, with recycled PA12 filaments showing varying mechanical behavior depending on the flakes/powder ratio. Externally implemented pathways exhibited higher transport energy use and CO₂ emissions due to additional logistical steps, whereas internally implemented routes showed reduced transport distances and shorter process times. Economic performance varied primarily with process time and material output. Social performance varied with manual handling requirements, noise exposure, and organizational complexity, with differences observed between internally and externally implemented routes.</w:t>
      </w:r>
    </w:p>
    <w:p w14:paraId="502694B3" w14:textId="341C801C" w:rsidR="00F719EE" w:rsidRPr="00F719EE" w:rsidRDefault="00F719EE" w:rsidP="00F719EE">
      <w:pPr>
        <w:pStyle w:val="Heading20"/>
        <w:rPr>
          <w:lang w:val="en-US"/>
        </w:rPr>
      </w:pPr>
      <w:r>
        <w:rPr>
          <w:lang w:val="en-US"/>
        </w:rPr>
        <w:t>Multi-criteria decision analysis and pathway ranking</w:t>
      </w:r>
    </w:p>
    <w:p w14:paraId="710C69F5" w14:textId="2741EDF0" w:rsidR="002F445A" w:rsidRDefault="00F719EE" w:rsidP="002F445A">
      <w:pPr>
        <w:rPr>
          <w:lang w:val="en-US"/>
        </w:rPr>
      </w:pPr>
      <w:r w:rsidRPr="00F719EE">
        <w:rPr>
          <w:lang w:val="en-US"/>
        </w:rPr>
        <w:t xml:space="preserve">Application of the BWM indicated that technical and economic dimensions carried the highest weight, followed by social and environmental dimensions. Weighted aggregation of indicator scores showed that Pathway E (external </w:t>
      </w:r>
      <w:r w:rsidR="00973A60">
        <w:rPr>
          <w:lang w:val="en-US"/>
        </w:rPr>
        <w:t xml:space="preserve">domestic </w:t>
      </w:r>
      <w:r w:rsidRPr="00F719EE">
        <w:rPr>
          <w:lang w:val="en-US"/>
        </w:rPr>
        <w:t>mechanical recycling, 100% flakes) achieved the highest overall score, combining robust technical performance, favorable stakeholder acceptance, and good environmental performance in comparison to the other pathways. Pathway C achieved strong technical and economic scores but was penalized by higher transport-related environmental impacts. Mixed-material pathways (D, F) achieved moderate overall performance but showed reduced controllability and integration. Overall, Pathway E was identified as the most suitable option for implementation, offering the most balanced trade-off between AM process reliability, operational feasibility, and system-level performance.</w:t>
      </w:r>
    </w:p>
    <w:p w14:paraId="7CEDEE3A" w14:textId="206A8F61" w:rsidR="00F719EE" w:rsidRDefault="00F719EE" w:rsidP="00F719EE">
      <w:pPr>
        <w:pStyle w:val="Einleitung"/>
      </w:pPr>
      <w:r>
        <w:t>Discussion</w:t>
      </w:r>
    </w:p>
    <w:p w14:paraId="47223D3E" w14:textId="2D6E01FF" w:rsidR="00F719EE" w:rsidRPr="00F719EE" w:rsidRDefault="00F719EE" w:rsidP="00F719EE">
      <w:pPr>
        <w:pStyle w:val="Heading20"/>
        <w:rPr>
          <w:lang w:val="en-US"/>
        </w:rPr>
      </w:pPr>
      <w:r w:rsidRPr="00F719EE">
        <w:rPr>
          <w:lang w:val="en-US"/>
        </w:rPr>
        <w:t>Experimental methodology</w:t>
      </w:r>
    </w:p>
    <w:p w14:paraId="351F1889" w14:textId="2A542F06" w:rsidR="00F719EE" w:rsidRPr="00F719EE" w:rsidRDefault="00F719EE" w:rsidP="00F719EE">
      <w:pPr>
        <w:rPr>
          <w:lang w:val="en-US"/>
        </w:rPr>
      </w:pPr>
      <w:r w:rsidRPr="00F719EE">
        <w:rPr>
          <w:lang w:val="en-US"/>
        </w:rPr>
        <w:t xml:space="preserve">The experimental methodology adopted in this study was designed to reflect industrially relevant conditions while maintaining sufficient standardization to allow comparability between recycled material variants. Tensile testing of MEX-printed specimens was selected as the primary characterization method, as it provides a well-established basis for evaluating mechanical performance of polymer-based additively manufactured materials </w:t>
      </w:r>
      <w:r w:rsidRPr="00F719EE">
        <w:rPr>
          <w:lang w:val="en-US"/>
        </w:rPr>
        <w:lastRenderedPageBreak/>
        <w:t>and is commonly used in both academic and industrial contexts. The choice of tensile strength and elongation at break as key indicators was motivated by their sensitivity to material degradation, heterogeneity, and processing-induced defects, which are particularly relevant for mechanically recycled polymers. A standardized printing configuration was intentionally applied across all material variants to isolate the influence of material composition from process-related variability. In an industrial context, parameter optimization could partially compensate for material variability; however, the chosen methodology provides a conservative and robust assessment of material performance under fixed processing conditions.</w:t>
      </w:r>
    </w:p>
    <w:p w14:paraId="04FD1CAF" w14:textId="77777777" w:rsidR="00F719EE" w:rsidRDefault="00F719EE" w:rsidP="00F719EE">
      <w:pPr>
        <w:rPr>
          <w:lang w:val="en-US"/>
        </w:rPr>
      </w:pPr>
      <w:r w:rsidRPr="00F719EE">
        <w:rPr>
          <w:lang w:val="en-US"/>
        </w:rPr>
        <w:t>Overall, the experimental methods used in this study support the objectives of the four-dimensional sustainability framework. Rather than aiming to demonstrate maximum achievable material performance, the experiments provide decision-relevant input on material stability, process robustness, and suitability for non-safety-critical tooling applications. This alignment between experimental design and decision-making requirements strengthens the integration of material testing into the broader sustainability assessment and supports the identification of practically implementable recycling pathways.</w:t>
      </w:r>
    </w:p>
    <w:p w14:paraId="39B26336" w14:textId="58A5A724" w:rsidR="00F719EE" w:rsidRPr="00F719EE" w:rsidRDefault="00F719EE" w:rsidP="00F719EE">
      <w:pPr>
        <w:pStyle w:val="Heading20"/>
        <w:rPr>
          <w:lang w:val="en-US"/>
        </w:rPr>
      </w:pPr>
      <w:r>
        <w:rPr>
          <w:lang w:val="en-US"/>
        </w:rPr>
        <w:t>Interpretation of pathway performance and decision outcome</w:t>
      </w:r>
    </w:p>
    <w:p w14:paraId="342CCF3C" w14:textId="3D6C92FC" w:rsidR="00F719EE" w:rsidRPr="00F719EE" w:rsidRDefault="00F719EE" w:rsidP="00F719EE">
      <w:pPr>
        <w:rPr>
          <w:lang w:val="en-US"/>
        </w:rPr>
      </w:pPr>
      <w:r w:rsidRPr="00F719EE">
        <w:rPr>
          <w:lang w:val="en-US"/>
        </w:rPr>
        <w:t xml:space="preserve">Application of the 4DS framework enabled a systematic comparison of PA12 recycling pathways differing in flakes-to-powder ratio and production location, integrating technical, environmental, economic, and social criteria. The comparison of recycling pathways indicates that sustainability performance is primarily influenced by logistical configuration and organizational complexity rather than by material processing alone. As summarized in Table </w:t>
      </w:r>
      <w:r w:rsidR="00973A60">
        <w:rPr>
          <w:lang w:val="en-US"/>
        </w:rPr>
        <w:t>4</w:t>
      </w:r>
      <w:r w:rsidRPr="00F719EE">
        <w:rPr>
          <w:lang w:val="en-US"/>
        </w:rPr>
        <w:t>, externally implemented pathways show higher transport-related energy use and CO₂ emissions due to additional logistics, negatively affecting their environmental performance, whereas internally implemented pathways benefit from reduced transport distances and shorter process times, resulting in more favorable economic and environmental indicator values. When these differences are integrated into the multi-criteria decision analysis, the B</w:t>
      </w:r>
      <w:r w:rsidR="00973A60">
        <w:rPr>
          <w:lang w:val="en-US"/>
        </w:rPr>
        <w:t>WM</w:t>
      </w:r>
      <w:r w:rsidRPr="00F719EE">
        <w:rPr>
          <w:lang w:val="en-US"/>
        </w:rPr>
        <w:t xml:space="preserve"> weighting assigns greater importance to technical and economic dimensions, amplifying the relative advantage of internally implemented routes. Social performance further differentiates the pathways, reflecting trade-offs between process t</w:t>
      </w:r>
      <w:r>
        <w:rPr>
          <w:lang w:val="en-US"/>
        </w:rPr>
        <w:t>r</w:t>
      </w:r>
      <w:r w:rsidRPr="00F719EE">
        <w:rPr>
          <w:lang w:val="en-US"/>
        </w:rPr>
        <w:t>ansparency, operational control, and coordination effort.</w:t>
      </w:r>
    </w:p>
    <w:p w14:paraId="2D619C7E" w14:textId="4D4225E8" w:rsidR="00F719EE" w:rsidRPr="00F719EE" w:rsidRDefault="00F719EE" w:rsidP="00F719EE">
      <w:pPr>
        <w:rPr>
          <w:lang w:val="en-US"/>
        </w:rPr>
      </w:pPr>
      <w:r w:rsidRPr="00F719EE">
        <w:rPr>
          <w:lang w:val="en-US"/>
        </w:rPr>
        <w:t>The unweighted qualitative and quantitative assessments consistently identified Pathway E (based on 100% recycled flakes and fully domestic processing) as the most suitable option. This pathway combined the highest recycling efficiency with the shortest transport distance, resulting in the lowest transport-related energy consumption, reduced CO₂ emissions, and the shortest overall completion time. From an AM perspective, these factors directly support material availability, process reliability, and production planning. Although Pathway E generated slightly higher noise levels due to more frequent shredding operations and incurred higher production costs compared to international alternatives, these drawbacks were offset by improved operational efficiency and enhanced process control. Pathway F (50/50 flakes–powder, domestic) ranked second, followed by Pathway D (50/50, international) and Pathway C (100% flakes, international), illustrating the trade-offs introduced by powder inclusion and longer logistics chains.</w:t>
      </w:r>
    </w:p>
    <w:p w14:paraId="3D6B6FAE" w14:textId="40535C9C" w:rsidR="00F719EE" w:rsidRPr="00F719EE" w:rsidRDefault="00F719EE" w:rsidP="00F719EE">
      <w:pPr>
        <w:rPr>
          <w:lang w:val="en-US"/>
        </w:rPr>
      </w:pPr>
      <w:r w:rsidRPr="00F719EE">
        <w:rPr>
          <w:lang w:val="en-US"/>
        </w:rPr>
        <w:t>When stakeholder preferences were incorporated through the B</w:t>
      </w:r>
      <w:r w:rsidR="00973A60">
        <w:rPr>
          <w:lang w:val="en-US"/>
        </w:rPr>
        <w:t>WM</w:t>
      </w:r>
      <w:r w:rsidRPr="00F719EE">
        <w:rPr>
          <w:lang w:val="en-US"/>
        </w:rPr>
        <w:t xml:space="preserve"> </w:t>
      </w:r>
      <w:r w:rsidRPr="00F719EE">
        <w:rPr>
          <w:lang w:val="en-US"/>
        </w:rPr>
        <w:fldChar w:fldCharType="begin"/>
      </w:r>
      <w:r w:rsidRPr="00F719EE">
        <w:rPr>
          <w:lang w:val="en-US"/>
        </w:rPr>
        <w:instrText xml:space="preserve"> ADDIN ZOTERO_ITEM CSL_CITATION {"citationID":"vmdviuoX","properties":{"formattedCitation":"[32]","plainCitation":"[32]","noteIndex":0},"citationItems":[{"id":1966,"uris":["http://zotero.org/users/16450004/items/MSYGIY38"],"itemData":{"id":1966,"type":"article-journal","container-title":"Omega","DOI":"https://doi.org/10.1016/j.omega.2014.11.009","ISSN":"0305-0483","page":"49-57","title":"Best-worst multi-criteria decision-making method","volume":"53","author":[{"family":"Rezaei","given":"Jafar"}],"issued":{"date-parts":[["2015"]]}}}],"schema":"https://github.com/citation-style-language/schema/raw/master/csl-citation.json"} </w:instrText>
      </w:r>
      <w:r w:rsidRPr="00F719EE">
        <w:rPr>
          <w:lang w:val="en-US"/>
        </w:rPr>
        <w:fldChar w:fldCharType="separate"/>
      </w:r>
      <w:r w:rsidRPr="00F719EE">
        <w:rPr>
          <w:lang w:val="en-US"/>
        </w:rPr>
        <w:t>[32]</w:t>
      </w:r>
      <w:r w:rsidRPr="00F719EE">
        <w:rPr>
          <w:lang w:val="en-GB"/>
        </w:rPr>
        <w:fldChar w:fldCharType="end"/>
      </w:r>
      <w:r w:rsidRPr="00F719EE">
        <w:rPr>
          <w:lang w:val="en-US"/>
        </w:rPr>
        <w:t xml:space="preserve">, the ranking shifted toward economically favorable solutions, emphasizing investment and disposal </w:t>
      </w:r>
      <w:r w:rsidRPr="00F719EE">
        <w:rPr>
          <w:lang w:val="en-US"/>
        </w:rPr>
        <w:lastRenderedPageBreak/>
        <w:t xml:space="preserve">costs over purely environmental or technical indicators. Under this weighted evaluation, Pathway E remained the top-performing option, albeit with a reduced margin, while Pathway C moved into second position due to its lower total investment requirements despite international transport. This shift demonstrates how subjective weighting based on company priorities can meaningfully alter sustainability evaluations, highlighting the tension between ecological efficiency and economic practicality. Social factors further influenced pathway performance: employees expressed a clear preference for handling flakes over powder, citing easier management and fewer perceived health concerns, which consistently favored flake-based pathways (C and E). This finding aligns with prior studies noting that circular practices can create new opportunities but may also introduce occupational risks if not properly managed </w:t>
      </w:r>
      <w:r w:rsidRPr="00F719EE">
        <w:rPr>
          <w:lang w:val="en-US"/>
        </w:rPr>
        <w:fldChar w:fldCharType="begin"/>
      </w:r>
      <w:r w:rsidRPr="00F719EE">
        <w:rPr>
          <w:lang w:val="en-US"/>
        </w:rPr>
        <w:instrText xml:space="preserve"> ADDIN ZOTERO_ITEM CSL_CITATION {"citationID":"CH2QeEI8","properties":{"formattedCitation":"[49], [50], [51]","plainCitation":"[49], [50], [51]","noteIndex":0},"citationItems":[{"id":1953,"uris":["http://zotero.org/users/16450004/items/DXHW8HKY"],"itemData":{"id":1953,"type":"document","title":"Social Sustainability","URL":"https://www.unglobalcompact.org/what-is-gc/our-work/social","author":[{"literal":"UN Global Compact"}],"issued":{"date-parts":[["2022"]]}}},{"id":1956,"uris":["http://zotero.org/users/16450004/items/Q57B6XIQ"],"itemData":{"id":1956,"type":"article-journal","container-title":"Bulletin of the World Health Organization","DOI":"10.1590/S0042-96862003000700013","page":"539-45","title":"Poverty, Equity, Human Rights and Health","volume":"81","author":[{"family":"Braveman","given":"Paula"},{"family":"Gruskin","given":"Sofia"}],"issued":{"date-parts":[["2003",2]]}}},{"id":1961,"uris":["http://zotero.org/users/16450004/items/YAJ74G5R"],"itemData":{"id":1961,"type":"article-journal","container-title":"Conserve Energy Future","title":"Various Advantages and Disadvantages of Recycling","URL":"https://www.conserve-energy-future.com/advantages-and-disadvantages-of-recycling.php#8_Increased_processing_cost_and_low-quality_jobs","author":[{"family":"Kukreja","given":"Rinkesh"}],"issued":{"date-parts":[["2022"]]}}}],"schema":"https://github.com/citation-style-language/schema/raw/master/csl-citation.json"} </w:instrText>
      </w:r>
      <w:r w:rsidRPr="00F719EE">
        <w:rPr>
          <w:lang w:val="en-US"/>
        </w:rPr>
        <w:fldChar w:fldCharType="separate"/>
      </w:r>
      <w:r w:rsidRPr="00F719EE">
        <w:rPr>
          <w:lang w:val="en-US"/>
        </w:rPr>
        <w:t>[49</w:t>
      </w:r>
      <w:r w:rsidR="00973A60">
        <w:rPr>
          <w:lang w:val="en-US"/>
        </w:rPr>
        <w:t>-</w:t>
      </w:r>
      <w:r w:rsidRPr="00F719EE">
        <w:rPr>
          <w:lang w:val="en-US"/>
        </w:rPr>
        <w:t>51]</w:t>
      </w:r>
      <w:r w:rsidRPr="00F719EE">
        <w:rPr>
          <w:lang w:val="en-GB"/>
        </w:rPr>
        <w:fldChar w:fldCharType="end"/>
      </w:r>
      <w:r w:rsidRPr="00F719EE">
        <w:rPr>
          <w:lang w:val="en-US"/>
        </w:rPr>
        <w:t>.</w:t>
      </w:r>
    </w:p>
    <w:p w14:paraId="17DF64BB" w14:textId="7ECD69A5" w:rsidR="00F719EE" w:rsidRPr="00F719EE" w:rsidRDefault="00F719EE" w:rsidP="00F719EE">
      <w:pPr>
        <w:rPr>
          <w:lang w:val="en-US"/>
        </w:rPr>
      </w:pPr>
      <w:r w:rsidRPr="00F719EE">
        <w:rPr>
          <w:lang w:val="en-US"/>
        </w:rPr>
        <w:t>The primary strength of the 4DS framework lies in its alignment with industrial and AM requirements through the explicit integration of technical, economic, environmental, and social dimensions. This enables balanced trade-off analysis and prevents the dominance of a single sustainability aspect. The stepwise and iterative structure supports rapid implementation and adaptation to changing objectives, while indicator screening limits unnecessary data collection, making the framework suitable for industrial contexts with constrained time and data availability.</w:t>
      </w:r>
    </w:p>
    <w:p w14:paraId="7028076A" w14:textId="77777777" w:rsidR="00F719EE" w:rsidRPr="00F719EE" w:rsidRDefault="00F719EE" w:rsidP="00F719EE">
      <w:pPr>
        <w:rPr>
          <w:lang w:val="en-US"/>
        </w:rPr>
      </w:pPr>
      <w:r w:rsidRPr="00F719EE">
        <w:rPr>
          <w:lang w:val="en-US"/>
        </w:rPr>
        <w:t>A key limitation is that the framework does not explicitly quantify the magnitude of differences between indicator values, as it identifies the best-performing pathway per indicator without weighing the size of performance gaps. In addition, results depend on stakeholder-defined priorities, which can reduce the influence of lower-weighted dimensions. Despite these limitations, the framework provides effective decision support for identifying AM-relevant recycling strategies that balance sustainability performance with operational feasibility and business objectives.</w:t>
      </w:r>
    </w:p>
    <w:p w14:paraId="53C32021" w14:textId="44FAC232" w:rsidR="002F445A" w:rsidRPr="00F719EE" w:rsidRDefault="00F719EE" w:rsidP="00F719EE">
      <w:pPr>
        <w:pStyle w:val="Einleitung"/>
      </w:pPr>
      <w:r>
        <w:t>Conclusion</w:t>
      </w:r>
    </w:p>
    <w:p w14:paraId="5FE5BCA3" w14:textId="58E8E7EE" w:rsidR="00F719EE" w:rsidRPr="00F719EE" w:rsidRDefault="00F719EE" w:rsidP="00F719EE">
      <w:pPr>
        <w:rPr>
          <w:lang w:val="en-US"/>
        </w:rPr>
      </w:pPr>
      <w:r w:rsidRPr="00F719EE">
        <w:rPr>
          <w:lang w:val="en-US"/>
        </w:rPr>
        <w:t xml:space="preserve">This study addresses the need for sustainability assessment approaches in AM that explicitly account for technical feasibility alongside environmental, economic, and social considerations. While sustainability frameworks are increasingly applied in manufacturing research, their relevance for AM is often limited by insufficient integration of process-specific requirements and material performance. To address this gap, an AM–oriented four-dimensional sustainability framework was developed and applied to the mechanical recycling of PA12 waste from automotive AM prototyping into filament for MEX. </w:t>
      </w:r>
    </w:p>
    <w:p w14:paraId="15404B3C" w14:textId="7148EE83" w:rsidR="00EF14F3" w:rsidRPr="00171EBD" w:rsidRDefault="00F719EE" w:rsidP="007F01E1">
      <w:pPr>
        <w:rPr>
          <w:lang w:val="en-US"/>
        </w:rPr>
      </w:pPr>
      <w:r w:rsidRPr="00F719EE">
        <w:rPr>
          <w:lang w:val="en-US"/>
        </w:rPr>
        <w:t>In addition to the methodological assessment, the study included experimental evaluation of recycled PA12 filaments produced from different flakes/powder compositions. These experimental results were integrated into a quantitative sustainability assessment and a multicriteria decision analysis based on the BWM. The findings demonstrate that the most suitable recycling pathway for AM does not necessarily correspond to the lowest-cost or lowest-impact option when considered in isolation. Instead, recycling strategies that balance material performance, process robustness, and operational constraints achieve the highest overall sustainability performance. From an AM research perspective, this work contributes a structured approach for linking material recycling, process requirements, and industrial decision-making, supporting the development of practically implementable circular material strategies for AM applications.</w:t>
      </w:r>
      <w:bookmarkEnd w:id="1"/>
    </w:p>
    <w:p w14:paraId="7737A86F" w14:textId="10CA38CC" w:rsidR="00942275" w:rsidRDefault="00942275" w:rsidP="00171EBD">
      <w:pPr>
        <w:pStyle w:val="berschrift"/>
      </w:pPr>
      <w:r w:rsidRPr="00CF57A8">
        <w:br w:type="page"/>
      </w:r>
      <w:r w:rsidR="00275ACE" w:rsidRPr="0072574D">
        <w:lastRenderedPageBreak/>
        <w:t>Literatur</w:t>
      </w:r>
      <w:r w:rsidR="00131BBB">
        <w:t>e</w:t>
      </w:r>
    </w:p>
    <w:p w14:paraId="191ACC10" w14:textId="6DECD3FF" w:rsidR="00171EBD" w:rsidRPr="00171EBD" w:rsidRDefault="00171EBD" w:rsidP="00171EBD">
      <w:pPr>
        <w:pStyle w:val="Bibliography"/>
        <w:ind w:left="1416" w:hanging="1416"/>
        <w:rPr>
          <w:lang w:val="en-US"/>
        </w:rPr>
      </w:pPr>
      <w:r w:rsidRPr="00171EBD">
        <w:fldChar w:fldCharType="begin"/>
      </w:r>
      <w:r w:rsidRPr="00171EBD">
        <w:rPr>
          <w:lang w:val="en-US"/>
        </w:rPr>
        <w:instrText xml:space="preserve"> ADDIN ZOTERO_BIBL {"uncited":[],"omitted":[],"custom":[]} CSL_BIBLIOGRAPHY </w:instrText>
      </w:r>
      <w:r w:rsidRPr="00171EBD">
        <w:fldChar w:fldCharType="separate"/>
      </w:r>
      <w:r w:rsidRPr="00171EBD">
        <w:rPr>
          <w:lang w:val="en-US"/>
        </w:rPr>
        <w:t>[1]</w:t>
      </w:r>
      <w:r w:rsidRPr="00171EBD">
        <w:rPr>
          <w:lang w:val="en-US"/>
        </w:rPr>
        <w:tab/>
        <w:t xml:space="preserve">B. Purvis, Y. Mao, and D. Robinson, “Three pillars of sustainability: in search of conceptual origins,” </w:t>
      </w:r>
      <w:r w:rsidRPr="00171EBD">
        <w:rPr>
          <w:i/>
          <w:iCs/>
          <w:lang w:val="en-US"/>
        </w:rPr>
        <w:t>Sustainabiity Science</w:t>
      </w:r>
      <w:r w:rsidRPr="00171EBD">
        <w:rPr>
          <w:lang w:val="en-US"/>
        </w:rPr>
        <w:t>, vol. 14. pp. 681–695, 2019. doi: https://doi.org/10.1007/s11625-018-0627-5.</w:t>
      </w:r>
    </w:p>
    <w:p w14:paraId="34133D02" w14:textId="5EF85E0D" w:rsidR="00171EBD" w:rsidRPr="00171EBD" w:rsidRDefault="00171EBD" w:rsidP="00171EBD">
      <w:pPr>
        <w:pStyle w:val="Bibliography"/>
        <w:ind w:left="1416" w:hanging="1416"/>
        <w:rPr>
          <w:lang w:val="en-US"/>
        </w:rPr>
      </w:pPr>
      <w:r w:rsidRPr="00171EBD">
        <w:rPr>
          <w:lang w:val="en-US"/>
        </w:rPr>
        <w:t>[2]</w:t>
      </w:r>
      <w:r w:rsidRPr="00171EBD">
        <w:rPr>
          <w:lang w:val="en-US"/>
        </w:rPr>
        <w:tab/>
        <w:t xml:space="preserve">C. Thomsen, “Sustainability (World Commission on Environment and Development Definition),” in </w:t>
      </w:r>
      <w:r w:rsidRPr="00171EBD">
        <w:rPr>
          <w:i/>
          <w:iCs/>
          <w:lang w:val="en-US"/>
        </w:rPr>
        <w:t>Encyclopedia of Corporate Social Responsibility</w:t>
      </w:r>
      <w:r w:rsidRPr="00171EBD">
        <w:rPr>
          <w:lang w:val="en-US"/>
        </w:rPr>
        <w:t>, S. O. Idowu, N. Capaldi, L. Zu, and A. D. Gupta, Eds., Berlin, Heidelberg: Springer Berlin Heidelberg, 2013, pp. 2358–2363. doi: 10.1007/978-3-642-28036-8_531.</w:t>
      </w:r>
    </w:p>
    <w:p w14:paraId="61183C3B" w14:textId="02A0C657" w:rsidR="00171EBD" w:rsidRPr="00171EBD" w:rsidRDefault="00171EBD" w:rsidP="00171EBD">
      <w:pPr>
        <w:pStyle w:val="Bibliography"/>
        <w:ind w:left="1416" w:hanging="1416"/>
        <w:rPr>
          <w:lang w:val="en-US"/>
        </w:rPr>
      </w:pPr>
      <w:r w:rsidRPr="00171EBD">
        <w:rPr>
          <w:lang w:val="en-US"/>
        </w:rPr>
        <w:t>[3]</w:t>
      </w:r>
      <w:r w:rsidRPr="00171EBD">
        <w:rPr>
          <w:lang w:val="en-US"/>
        </w:rPr>
        <w:tab/>
        <w:t xml:space="preserve">V. Veleva, M. Hart, T. Greiner, and C. Crumbley, “Indicators of sustainable production,” </w:t>
      </w:r>
      <w:r w:rsidRPr="00171EBD">
        <w:rPr>
          <w:i/>
          <w:iCs/>
          <w:lang w:val="en-US"/>
        </w:rPr>
        <w:t>Journal of Cleaner Production</w:t>
      </w:r>
      <w:r w:rsidRPr="00171EBD">
        <w:rPr>
          <w:lang w:val="en-US"/>
        </w:rPr>
        <w:t>, vol. 9, no. 5, pp. 447–452, 2001, doi: https://doi.org/10.1016/S0959-6526(01)00004-X.</w:t>
      </w:r>
    </w:p>
    <w:p w14:paraId="79CBA0B6" w14:textId="6CE5B9B1" w:rsidR="00171EBD" w:rsidRPr="00171EBD" w:rsidRDefault="00171EBD" w:rsidP="00171EBD">
      <w:pPr>
        <w:pStyle w:val="Bibliography"/>
        <w:ind w:left="1416" w:hanging="1416"/>
        <w:rPr>
          <w:lang w:val="en-US"/>
        </w:rPr>
      </w:pPr>
      <w:r w:rsidRPr="00171EBD">
        <w:rPr>
          <w:lang w:val="en-US"/>
        </w:rPr>
        <w:t>[4]</w:t>
      </w:r>
      <w:r w:rsidRPr="00171EBD">
        <w:rPr>
          <w:lang w:val="en-US"/>
        </w:rPr>
        <w:tab/>
        <w:t xml:space="preserve">V. Veleva and M. Ellenbecker, “Indicators of sustainable production: framework and methodology,” </w:t>
      </w:r>
      <w:r w:rsidRPr="00171EBD">
        <w:rPr>
          <w:i/>
          <w:iCs/>
          <w:lang w:val="en-US"/>
        </w:rPr>
        <w:t>Journal of Cleaner Production</w:t>
      </w:r>
      <w:r w:rsidRPr="00171EBD">
        <w:rPr>
          <w:lang w:val="en-US"/>
        </w:rPr>
        <w:t>, vol. 9, no. 6, pp. 519–549, 2001, doi: https://doi.org/10.1016/S0959-6526(01)00010-5.</w:t>
      </w:r>
    </w:p>
    <w:p w14:paraId="13E15AEF" w14:textId="44119D16" w:rsidR="00171EBD" w:rsidRPr="00171EBD" w:rsidRDefault="00171EBD" w:rsidP="00171EBD">
      <w:pPr>
        <w:pStyle w:val="Bibliography"/>
        <w:ind w:left="1416" w:hanging="1416"/>
        <w:rPr>
          <w:lang w:val="en-US"/>
        </w:rPr>
      </w:pPr>
      <w:r w:rsidRPr="00171EBD">
        <w:rPr>
          <w:lang w:val="en-US"/>
        </w:rPr>
        <w:t>[5]</w:t>
      </w:r>
      <w:r w:rsidRPr="00171EBD">
        <w:rPr>
          <w:lang w:val="en-US"/>
        </w:rPr>
        <w:tab/>
        <w:t xml:space="preserve">A. Bianchini, P. Guarnieri, and J. Rossi, “A Framework to Assess Social Indicators in a Circular Economy Perspective,” </w:t>
      </w:r>
      <w:r w:rsidRPr="00171EBD">
        <w:rPr>
          <w:i/>
          <w:iCs/>
          <w:lang w:val="en-US"/>
        </w:rPr>
        <w:t>Sustainability</w:t>
      </w:r>
      <w:r w:rsidRPr="00171EBD">
        <w:rPr>
          <w:lang w:val="en-US"/>
        </w:rPr>
        <w:t>, vol. 14, no. 13, 2022, doi: 10.3390/su14137970.</w:t>
      </w:r>
    </w:p>
    <w:p w14:paraId="476A3D31" w14:textId="72C4210B" w:rsidR="00171EBD" w:rsidRPr="00171EBD" w:rsidRDefault="00171EBD" w:rsidP="00171EBD">
      <w:pPr>
        <w:pStyle w:val="Bibliography"/>
        <w:ind w:left="1416" w:hanging="1416"/>
        <w:rPr>
          <w:lang w:val="en-US"/>
        </w:rPr>
      </w:pPr>
      <w:r w:rsidRPr="00171EBD">
        <w:rPr>
          <w:lang w:val="en-US"/>
        </w:rPr>
        <w:t>[6]</w:t>
      </w:r>
      <w:r w:rsidRPr="00171EBD">
        <w:rPr>
          <w:lang w:val="en-US"/>
        </w:rPr>
        <w:tab/>
        <w:t xml:space="preserve">N. Menikpura, S. Gheewala, S. Bonnet, and C. Chiemchaisri, “Evaluation of the Effect of Recycling on Sustainability of Municipal Solid Waste Management in Thailand,” </w:t>
      </w:r>
      <w:r w:rsidRPr="00171EBD">
        <w:rPr>
          <w:i/>
          <w:iCs/>
          <w:lang w:val="en-US"/>
        </w:rPr>
        <w:t>Waste and Biomass Valorization</w:t>
      </w:r>
      <w:r w:rsidRPr="00171EBD">
        <w:rPr>
          <w:lang w:val="en-US"/>
        </w:rPr>
        <w:t>, vol. 4, pp. 237–257, May 2012, doi: 10.1007/s12649-012-9119-5.</w:t>
      </w:r>
    </w:p>
    <w:p w14:paraId="51BA6DBF" w14:textId="69348AD8" w:rsidR="00171EBD" w:rsidRPr="00171EBD" w:rsidRDefault="00171EBD" w:rsidP="00171EBD">
      <w:pPr>
        <w:pStyle w:val="Bibliography"/>
        <w:ind w:left="1416" w:hanging="1416"/>
        <w:rPr>
          <w:lang w:val="en-US"/>
        </w:rPr>
      </w:pPr>
      <w:r w:rsidRPr="00171EBD">
        <w:rPr>
          <w:lang w:val="en-US"/>
        </w:rPr>
        <w:t>[7]</w:t>
      </w:r>
      <w:r w:rsidRPr="00171EBD">
        <w:rPr>
          <w:lang w:val="en-US"/>
        </w:rPr>
        <w:tab/>
        <w:t xml:space="preserve">S. Cuc and M. Vidovic, “Environmental Sustainability through Clothing Recycling,” </w:t>
      </w:r>
      <w:r w:rsidRPr="00171EBD">
        <w:rPr>
          <w:i/>
          <w:iCs/>
          <w:lang w:val="en-US"/>
        </w:rPr>
        <w:t>Operations and Supply Chain Management: An International Journal</w:t>
      </w:r>
      <w:r w:rsidRPr="00171EBD">
        <w:rPr>
          <w:lang w:val="en-US"/>
        </w:rPr>
        <w:t>, p. 108, Dec. 2014, doi: 10.31387/oscm0100064.</w:t>
      </w:r>
    </w:p>
    <w:p w14:paraId="78111645" w14:textId="1FBF773B" w:rsidR="00171EBD" w:rsidRPr="00171EBD" w:rsidRDefault="00171EBD" w:rsidP="00171EBD">
      <w:pPr>
        <w:pStyle w:val="Bibliography"/>
        <w:ind w:left="1416" w:hanging="1416"/>
        <w:rPr>
          <w:lang w:val="en-US"/>
        </w:rPr>
      </w:pPr>
      <w:r w:rsidRPr="00171EBD">
        <w:rPr>
          <w:lang w:val="en-US"/>
        </w:rPr>
        <w:t>[8]</w:t>
      </w:r>
      <w:r w:rsidRPr="00171EBD">
        <w:rPr>
          <w:lang w:val="en-US"/>
        </w:rPr>
        <w:tab/>
        <w:t xml:space="preserve">C. Caldeira </w:t>
      </w:r>
      <w:r w:rsidRPr="00171EBD">
        <w:rPr>
          <w:i/>
          <w:iCs/>
          <w:lang w:val="en-US"/>
        </w:rPr>
        <w:t>et al.</w:t>
      </w:r>
      <w:r w:rsidRPr="00171EBD">
        <w:rPr>
          <w:lang w:val="en-US"/>
        </w:rPr>
        <w:t xml:space="preserve">, Eds., </w:t>
      </w:r>
      <w:r w:rsidRPr="00171EBD">
        <w:rPr>
          <w:i/>
          <w:iCs/>
          <w:lang w:val="en-US"/>
        </w:rPr>
        <w:t>Safe and sustainable by design chemicals and materials: application of the SSbD framework to case studies</w:t>
      </w:r>
      <w:r w:rsidRPr="00171EBD">
        <w:rPr>
          <w:lang w:val="en-US"/>
        </w:rPr>
        <w:t>. Luxembourg: Publications Office, 2023. doi: 10.2760/769211.</w:t>
      </w:r>
    </w:p>
    <w:p w14:paraId="429045C2" w14:textId="0F4DE874" w:rsidR="00171EBD" w:rsidRPr="00171EBD" w:rsidRDefault="00171EBD" w:rsidP="00171EBD">
      <w:pPr>
        <w:pStyle w:val="Bibliography"/>
        <w:ind w:left="1416" w:hanging="1416"/>
        <w:rPr>
          <w:lang w:val="en-US"/>
        </w:rPr>
      </w:pPr>
      <w:r w:rsidRPr="00171EBD">
        <w:rPr>
          <w:lang w:val="en-US"/>
        </w:rPr>
        <w:t>[9]</w:t>
      </w:r>
      <w:r w:rsidRPr="00171EBD">
        <w:rPr>
          <w:lang w:val="en-US"/>
        </w:rPr>
        <w:tab/>
        <w:t xml:space="preserve">V. Loviscek, “Triple Bottom Line toward a Holistic Framework for Sustainability: A Systematic Review,” </w:t>
      </w:r>
      <w:r w:rsidRPr="00171EBD">
        <w:rPr>
          <w:i/>
          <w:iCs/>
          <w:lang w:val="en-US"/>
        </w:rPr>
        <w:t>Rev. adm. contemp.</w:t>
      </w:r>
      <w:r w:rsidRPr="00171EBD">
        <w:rPr>
          <w:lang w:val="en-US"/>
        </w:rPr>
        <w:t>, vol. 25, no. 3, p. e200017, 2021, doi: 10.1590/1982-7849rac2021200017.en.</w:t>
      </w:r>
    </w:p>
    <w:p w14:paraId="33D10483" w14:textId="3ADB71B3" w:rsidR="00171EBD" w:rsidRPr="00171EBD" w:rsidRDefault="00171EBD" w:rsidP="00171EBD">
      <w:pPr>
        <w:pStyle w:val="Bibliography"/>
        <w:ind w:left="1416" w:hanging="1416"/>
        <w:rPr>
          <w:lang w:val="en-US"/>
        </w:rPr>
      </w:pPr>
      <w:r w:rsidRPr="00171EBD">
        <w:rPr>
          <w:lang w:val="en-US"/>
        </w:rPr>
        <w:t>[10]</w:t>
      </w:r>
      <w:r w:rsidRPr="00171EBD">
        <w:rPr>
          <w:lang w:val="en-US"/>
        </w:rPr>
        <w:tab/>
        <w:t xml:space="preserve">R. Geyer, J. R. Jambeck, and K. L. Law, “Production, use, and fate of all plastics ever made,” </w:t>
      </w:r>
      <w:r w:rsidRPr="00171EBD">
        <w:rPr>
          <w:i/>
          <w:iCs/>
          <w:lang w:val="en-US"/>
        </w:rPr>
        <w:t>Science Advances</w:t>
      </w:r>
      <w:r w:rsidRPr="00171EBD">
        <w:rPr>
          <w:lang w:val="en-US"/>
        </w:rPr>
        <w:t>, vol. 3, no. 7, 2017, doi: 10.1126/sciadv.1700782.</w:t>
      </w:r>
    </w:p>
    <w:p w14:paraId="74A6D1AE" w14:textId="6FE016F3" w:rsidR="00171EBD" w:rsidRPr="00171EBD" w:rsidRDefault="00171EBD" w:rsidP="00171EBD">
      <w:pPr>
        <w:pStyle w:val="Bibliography"/>
        <w:ind w:left="1416" w:hanging="1416"/>
        <w:rPr>
          <w:lang w:val="en-US"/>
        </w:rPr>
      </w:pPr>
      <w:r w:rsidRPr="00171EBD">
        <w:rPr>
          <w:lang w:val="en-US"/>
        </w:rPr>
        <w:t>[11]</w:t>
      </w:r>
      <w:r w:rsidRPr="00171EBD">
        <w:rPr>
          <w:lang w:val="en-US"/>
        </w:rPr>
        <w:tab/>
        <w:t>R. Becqué and S. Sharp, “Phasing out plastics: The automotive sector,” ODI, Sep. 2020.</w:t>
      </w:r>
    </w:p>
    <w:p w14:paraId="08228C7B" w14:textId="77777777" w:rsidR="00171EBD" w:rsidRPr="00171EBD" w:rsidRDefault="00171EBD" w:rsidP="00171EBD">
      <w:pPr>
        <w:pStyle w:val="Bibliography"/>
        <w:ind w:left="1416" w:hanging="1416"/>
        <w:rPr>
          <w:lang w:val="en-US"/>
        </w:rPr>
      </w:pPr>
      <w:r w:rsidRPr="00171EBD">
        <w:rPr>
          <w:lang w:val="en-US"/>
        </w:rPr>
        <w:t>[12]</w:t>
      </w:r>
      <w:r w:rsidRPr="00171EBD">
        <w:rPr>
          <w:lang w:val="en-US"/>
        </w:rPr>
        <w:tab/>
        <w:t xml:space="preserve">Material Economics, “The Circular Economy - A Powerful Force for Climate Mitigation.” 2018. [Online]. </w:t>
      </w:r>
    </w:p>
    <w:p w14:paraId="6075B661" w14:textId="77777777" w:rsidR="00171EBD" w:rsidRPr="00171EBD" w:rsidRDefault="00171EBD" w:rsidP="00171EBD">
      <w:pPr>
        <w:pStyle w:val="Bibliography"/>
        <w:ind w:left="1416" w:hanging="1416"/>
        <w:rPr>
          <w:lang w:val="en-US"/>
        </w:rPr>
      </w:pPr>
      <w:r w:rsidRPr="00171EBD">
        <w:rPr>
          <w:lang w:val="en-US"/>
        </w:rPr>
        <w:t>[13]</w:t>
      </w:r>
      <w:r w:rsidRPr="00171EBD">
        <w:rPr>
          <w:lang w:val="en-US"/>
        </w:rPr>
        <w:tab/>
        <w:t xml:space="preserve">K. Latham, “The world’s first ‘infinite’ plastic,” </w:t>
      </w:r>
      <w:r w:rsidRPr="00171EBD">
        <w:rPr>
          <w:i/>
          <w:iCs/>
          <w:lang w:val="en-US"/>
        </w:rPr>
        <w:t>BBC. Future Planet | Pollution</w:t>
      </w:r>
      <w:r w:rsidRPr="00171EBD">
        <w:rPr>
          <w:lang w:val="en-US"/>
        </w:rPr>
        <w:t>, May 2021, [Online].</w:t>
      </w:r>
    </w:p>
    <w:p w14:paraId="718A89B8" w14:textId="4A48A884" w:rsidR="00171EBD" w:rsidRPr="00171EBD" w:rsidRDefault="00171EBD" w:rsidP="00171EBD">
      <w:pPr>
        <w:pStyle w:val="Bibliography"/>
        <w:ind w:left="1416"/>
        <w:rPr>
          <w:lang w:val="en-US"/>
        </w:rPr>
      </w:pPr>
      <w:r w:rsidRPr="00171EBD">
        <w:rPr>
          <w:lang w:val="en-US"/>
        </w:rPr>
        <w:t>Available:https://www.bbc.com/future/article/20210510-how-to-recycle-any-plastic</w:t>
      </w:r>
    </w:p>
    <w:p w14:paraId="6AD2581E" w14:textId="0B1865AC" w:rsidR="00171EBD" w:rsidRPr="00171EBD" w:rsidRDefault="00171EBD" w:rsidP="00171EBD">
      <w:pPr>
        <w:pStyle w:val="Bibliography"/>
        <w:ind w:left="1416" w:hanging="1416"/>
        <w:rPr>
          <w:lang w:val="en-US"/>
        </w:rPr>
      </w:pPr>
      <w:r w:rsidRPr="00171EBD">
        <w:rPr>
          <w:lang w:val="en-US"/>
        </w:rPr>
        <w:lastRenderedPageBreak/>
        <w:t>[14]</w:t>
      </w:r>
      <w:r w:rsidRPr="00171EBD">
        <w:rPr>
          <w:lang w:val="en-US"/>
        </w:rPr>
        <w:tab/>
        <w:t xml:space="preserve">North American Forest Foundation, “How Much Energy Does it Take to Produce Plastic, Steel, and Wood?,” 2020, [Online]. </w:t>
      </w:r>
    </w:p>
    <w:p w14:paraId="228B75E7" w14:textId="75CFF277" w:rsidR="00171EBD" w:rsidRPr="00171EBD" w:rsidRDefault="00171EBD" w:rsidP="00171EBD">
      <w:pPr>
        <w:pStyle w:val="Bibliography"/>
        <w:ind w:left="1416" w:hanging="1416"/>
        <w:rPr>
          <w:lang w:val="en-US"/>
        </w:rPr>
      </w:pPr>
      <w:r w:rsidRPr="00171EBD">
        <w:rPr>
          <w:lang w:val="en-US"/>
        </w:rPr>
        <w:t>[15]</w:t>
      </w:r>
      <w:r w:rsidRPr="00171EBD">
        <w:rPr>
          <w:lang w:val="en-US"/>
        </w:rPr>
        <w:tab/>
        <w:t>The Association of Plastic Recyclers, “Life cycle impacts fro postconsumer recycled resins: PET, HDPE and PP.” Dec. 2018. [Online]. Available: https://plasticsrecycling.org/images/library/2018-APR-LCI-report.pdf</w:t>
      </w:r>
    </w:p>
    <w:p w14:paraId="5B36F443" w14:textId="4595AF2C" w:rsidR="00171EBD" w:rsidRPr="00171EBD" w:rsidRDefault="00171EBD" w:rsidP="00171EBD">
      <w:pPr>
        <w:pStyle w:val="Bibliography"/>
        <w:ind w:left="1416" w:hanging="1416"/>
        <w:rPr>
          <w:lang w:val="en-US"/>
        </w:rPr>
      </w:pPr>
      <w:r w:rsidRPr="00171EBD">
        <w:rPr>
          <w:lang w:val="en-US"/>
        </w:rPr>
        <w:t>[16]</w:t>
      </w:r>
      <w:r w:rsidRPr="00171EBD">
        <w:rPr>
          <w:lang w:val="en-US"/>
        </w:rPr>
        <w:tab/>
        <w:t>N. Voulvoulis, R. Kirkman, T. Giakoumis, P. Metivier, C. Kyle, and M. Vicky, “Examining material evidence: the Carbon Fingerprint,” Imperial College London, Jul. 2020. doi: 10.13140/RG.2.2.12793.70241.</w:t>
      </w:r>
    </w:p>
    <w:p w14:paraId="664583E8" w14:textId="1A6E1310" w:rsidR="00171EBD" w:rsidRPr="00171EBD" w:rsidRDefault="00171EBD" w:rsidP="00171EBD">
      <w:pPr>
        <w:pStyle w:val="Bibliography"/>
        <w:ind w:left="1416" w:hanging="1416"/>
        <w:rPr>
          <w:lang w:val="en-US"/>
        </w:rPr>
      </w:pPr>
      <w:r w:rsidRPr="00171EBD">
        <w:rPr>
          <w:lang w:val="en-US"/>
        </w:rPr>
        <w:t>[17]</w:t>
      </w:r>
      <w:r w:rsidRPr="00171EBD">
        <w:rPr>
          <w:lang w:val="en-US"/>
        </w:rPr>
        <w:tab/>
        <w:t xml:space="preserve">K. Hamad, M. Kaseem, and F. Deri, “Recycling of waste from polymer materials: An overview of the recent works,” </w:t>
      </w:r>
      <w:r w:rsidRPr="00171EBD">
        <w:rPr>
          <w:i/>
          <w:iCs/>
          <w:lang w:val="en-US"/>
        </w:rPr>
        <w:t>Polymer Degradation and Stability</w:t>
      </w:r>
      <w:r w:rsidRPr="00171EBD">
        <w:rPr>
          <w:lang w:val="en-US"/>
        </w:rPr>
        <w:t>, vol. 98, no. 12, pp. 2801–2812, 2013, doi: https://doi.org/10.1016/j.polymdegradstab.2013.09.025.</w:t>
      </w:r>
    </w:p>
    <w:p w14:paraId="13E245C2" w14:textId="0BDE0BC1" w:rsidR="00171EBD" w:rsidRPr="00171EBD" w:rsidRDefault="00171EBD" w:rsidP="00171EBD">
      <w:pPr>
        <w:pStyle w:val="Bibliography"/>
        <w:ind w:left="1416" w:hanging="1416"/>
        <w:rPr>
          <w:lang w:val="en-US"/>
        </w:rPr>
      </w:pPr>
      <w:r w:rsidRPr="00171EBD">
        <w:rPr>
          <w:lang w:val="en-US"/>
        </w:rPr>
        <w:t>[18]</w:t>
      </w:r>
      <w:r w:rsidRPr="00171EBD">
        <w:rPr>
          <w:lang w:val="en-US"/>
        </w:rPr>
        <w:tab/>
        <w:t xml:space="preserve">F. Ferrari, C. Corcione, F. Montagna, and A. Maffezzoli, “3D Printing of Polymer Waste for Improving People’s Awareness about Marine Litter,” </w:t>
      </w:r>
      <w:r w:rsidRPr="00171EBD">
        <w:rPr>
          <w:i/>
          <w:iCs/>
          <w:lang w:val="en-US"/>
        </w:rPr>
        <w:t>Polymers</w:t>
      </w:r>
      <w:r w:rsidRPr="00171EBD">
        <w:rPr>
          <w:lang w:val="en-US"/>
        </w:rPr>
        <w:t>, vol. 12, Aug. 2020, doi: 10.3390/polym12081738.</w:t>
      </w:r>
    </w:p>
    <w:p w14:paraId="6A9ADB39" w14:textId="77341F82" w:rsidR="00171EBD" w:rsidRPr="00171EBD" w:rsidRDefault="00171EBD" w:rsidP="00171EBD">
      <w:pPr>
        <w:pStyle w:val="Bibliography"/>
        <w:ind w:left="1408" w:hanging="1400"/>
        <w:rPr>
          <w:lang w:val="en-US"/>
        </w:rPr>
      </w:pPr>
      <w:r w:rsidRPr="00171EBD">
        <w:rPr>
          <w:lang w:val="en-US"/>
        </w:rPr>
        <w:t>[19]</w:t>
      </w:r>
      <w:r w:rsidRPr="00171EBD">
        <w:rPr>
          <w:lang w:val="en-US"/>
        </w:rPr>
        <w:tab/>
      </w:r>
      <w:r w:rsidRPr="00171EBD">
        <w:rPr>
          <w:lang w:val="en-US"/>
        </w:rPr>
        <w:tab/>
        <w:t xml:space="preserve">I. Farina, N. Singh, F. Colangelo, R. Luciano, G. Bonazzi, and F. Fraternali, “High-Performance Nylon-6 Sustainable Filaments for Additive Manufacturing,” </w:t>
      </w:r>
      <w:r w:rsidRPr="00171EBD">
        <w:rPr>
          <w:i/>
          <w:iCs/>
          <w:lang w:val="en-US"/>
        </w:rPr>
        <w:t>Materials</w:t>
      </w:r>
      <w:r w:rsidRPr="00171EBD">
        <w:rPr>
          <w:lang w:val="en-US"/>
        </w:rPr>
        <w:t>, vol. 12, no. 23, 2019, doi: 10.3390/ma12233955.</w:t>
      </w:r>
    </w:p>
    <w:p w14:paraId="51D8F8F1" w14:textId="6040DA93" w:rsidR="00171EBD" w:rsidRPr="00171EBD" w:rsidRDefault="00171EBD" w:rsidP="00171EBD">
      <w:pPr>
        <w:pStyle w:val="Bibliography"/>
        <w:ind w:left="1408" w:hanging="1408"/>
        <w:rPr>
          <w:lang w:val="en-US"/>
        </w:rPr>
      </w:pPr>
      <w:r w:rsidRPr="00171EBD">
        <w:rPr>
          <w:lang w:val="en-US"/>
        </w:rPr>
        <w:t>[20]</w:t>
      </w:r>
      <w:r w:rsidRPr="00171EBD">
        <w:rPr>
          <w:lang w:val="en-US"/>
        </w:rPr>
        <w:tab/>
      </w:r>
      <w:r w:rsidRPr="00171EBD">
        <w:rPr>
          <w:lang w:val="en-US"/>
        </w:rPr>
        <w:tab/>
        <w:t xml:space="preserve">B. Wei, S. Yang, and Q. Wang, “Green recycling of aluminum plastic packaging waste by solid-state shear milling and 3D printing for thermal conductive composites,” </w:t>
      </w:r>
      <w:r w:rsidRPr="00171EBD">
        <w:rPr>
          <w:i/>
          <w:iCs/>
          <w:lang w:val="en-US"/>
        </w:rPr>
        <w:t>Polymers for Advanced Technologies</w:t>
      </w:r>
      <w:r w:rsidRPr="00171EBD">
        <w:rPr>
          <w:lang w:val="en-US"/>
        </w:rPr>
        <w:t>, vol. 32, no. 6, pp. 2576–2587, 2021, doi: https://doi.org/10.1002/pat.5289.</w:t>
      </w:r>
    </w:p>
    <w:p w14:paraId="0BD30A39" w14:textId="2C41156D" w:rsidR="00171EBD" w:rsidRPr="00171EBD" w:rsidRDefault="00171EBD" w:rsidP="00171EBD">
      <w:pPr>
        <w:pStyle w:val="Bibliography"/>
        <w:ind w:left="1408" w:hanging="1408"/>
        <w:rPr>
          <w:lang w:val="en-US"/>
        </w:rPr>
      </w:pPr>
      <w:r w:rsidRPr="00171EBD">
        <w:rPr>
          <w:lang w:val="en-US"/>
        </w:rPr>
        <w:t>[21]</w:t>
      </w:r>
      <w:r w:rsidRPr="00171EBD">
        <w:rPr>
          <w:lang w:val="en-US"/>
        </w:rPr>
        <w:tab/>
      </w:r>
      <w:r w:rsidRPr="00171EBD">
        <w:rPr>
          <w:lang w:val="en-US"/>
        </w:rPr>
        <w:tab/>
        <w:t xml:space="preserve">K. Mikula </w:t>
      </w:r>
      <w:r w:rsidRPr="00171EBD">
        <w:rPr>
          <w:i/>
          <w:iCs/>
          <w:lang w:val="en-US"/>
        </w:rPr>
        <w:t>et al.</w:t>
      </w:r>
      <w:r w:rsidRPr="00171EBD">
        <w:rPr>
          <w:lang w:val="en-US"/>
        </w:rPr>
        <w:t xml:space="preserve">, “3D printing filament as a second life of waste plastics-a review,” </w:t>
      </w:r>
      <w:r w:rsidRPr="00171EBD">
        <w:rPr>
          <w:i/>
          <w:iCs/>
          <w:lang w:val="en-US"/>
        </w:rPr>
        <w:t>Environmental science and pollution research international</w:t>
      </w:r>
      <w:r w:rsidRPr="00171EBD">
        <w:rPr>
          <w:lang w:val="en-US"/>
        </w:rPr>
        <w:t>, vol. 28, Mar. 2021, doi: 10.1007/s11356-020-10657-8.</w:t>
      </w:r>
    </w:p>
    <w:p w14:paraId="3A3BE9ED" w14:textId="7DB19410" w:rsidR="00171EBD" w:rsidRPr="00171EBD" w:rsidRDefault="00171EBD" w:rsidP="00171EBD">
      <w:pPr>
        <w:pStyle w:val="Bibliography"/>
        <w:ind w:left="1408" w:hanging="1408"/>
        <w:rPr>
          <w:lang w:val="en-US"/>
        </w:rPr>
      </w:pPr>
      <w:r w:rsidRPr="00171EBD">
        <w:rPr>
          <w:lang w:val="en-US"/>
        </w:rPr>
        <w:t>[22]</w:t>
      </w:r>
      <w:r w:rsidRPr="00171EBD">
        <w:rPr>
          <w:lang w:val="en-US"/>
        </w:rPr>
        <w:tab/>
      </w:r>
      <w:r w:rsidRPr="00171EBD">
        <w:rPr>
          <w:lang w:val="en-US"/>
        </w:rPr>
        <w:tab/>
        <w:t xml:space="preserve">D. Pham, K. Dotchev, and W. Yusoff, “Deterioration of polyamide powder properties in the laser sintering process,” </w:t>
      </w:r>
      <w:r w:rsidRPr="00171EBD">
        <w:rPr>
          <w:i/>
          <w:iCs/>
          <w:lang w:val="en-US"/>
        </w:rPr>
        <w:t>Proceedings of the Institution of Mechanical Engineers, Part C: Journal of Mechanical Engineering Science</w:t>
      </w:r>
      <w:r w:rsidRPr="00171EBD">
        <w:rPr>
          <w:lang w:val="en-US"/>
        </w:rPr>
        <w:t>, vol. 222, no. 11, pp. 2163–2176, Nov. 2008, doi: 10.1243/09544062JMES839.</w:t>
      </w:r>
    </w:p>
    <w:p w14:paraId="2789EBEF" w14:textId="7BB1BC84" w:rsidR="00171EBD" w:rsidRPr="00171EBD" w:rsidRDefault="00171EBD" w:rsidP="00171EBD">
      <w:pPr>
        <w:pStyle w:val="Bibliography"/>
        <w:ind w:left="1408" w:hanging="1408"/>
        <w:rPr>
          <w:lang w:val="en-US"/>
        </w:rPr>
      </w:pPr>
      <w:r w:rsidRPr="00171EBD">
        <w:rPr>
          <w:lang w:val="en-US"/>
        </w:rPr>
        <w:t>[23]</w:t>
      </w:r>
      <w:r w:rsidRPr="00171EBD">
        <w:rPr>
          <w:lang w:val="en-US"/>
        </w:rPr>
        <w:tab/>
      </w:r>
      <w:r w:rsidRPr="00171EBD">
        <w:rPr>
          <w:lang w:val="en-US"/>
        </w:rPr>
        <w:tab/>
        <w:t xml:space="preserve">K. Dotchev and W. Yusoff, “Recycling of polyamide 12 based powders in the laser sintering process,” </w:t>
      </w:r>
      <w:r w:rsidRPr="00171EBD">
        <w:rPr>
          <w:i/>
          <w:iCs/>
          <w:lang w:val="en-US"/>
        </w:rPr>
        <w:t>Rapid Prototyping Journal</w:t>
      </w:r>
      <w:r w:rsidRPr="00171EBD">
        <w:rPr>
          <w:lang w:val="en-US"/>
        </w:rPr>
        <w:t>, vol. 15, pp. 192–203, May 2009, doi: 10.1108/13552540910960299.</w:t>
      </w:r>
    </w:p>
    <w:p w14:paraId="712D0A8F" w14:textId="6C9A070A" w:rsidR="00171EBD" w:rsidRPr="00171EBD" w:rsidRDefault="00171EBD" w:rsidP="00171EBD">
      <w:pPr>
        <w:pStyle w:val="Bibliography"/>
        <w:ind w:left="1408" w:hanging="1408"/>
        <w:rPr>
          <w:lang w:val="en-US"/>
        </w:rPr>
      </w:pPr>
      <w:r w:rsidRPr="00171EBD">
        <w:rPr>
          <w:lang w:val="en-US"/>
        </w:rPr>
        <w:t>[24]</w:t>
      </w:r>
      <w:r w:rsidRPr="00171EBD">
        <w:rPr>
          <w:lang w:val="en-US"/>
        </w:rPr>
        <w:tab/>
      </w:r>
      <w:r w:rsidRPr="00171EBD">
        <w:rPr>
          <w:lang w:val="en-US"/>
        </w:rPr>
        <w:tab/>
        <w:t xml:space="preserve">S. Josupeit, S. Rüsenberg, and H.-J. Schmid, “A material-based quality concept for polymer laser sintering,” in </w:t>
      </w:r>
      <w:r w:rsidRPr="00171EBD">
        <w:rPr>
          <w:i/>
          <w:iCs/>
          <w:lang w:val="en-US"/>
        </w:rPr>
        <w:t>24th International SFF Symposium - An Additive Manufacturing Conference, SFF 2013</w:t>
      </w:r>
      <w:r w:rsidRPr="00171EBD">
        <w:rPr>
          <w:lang w:val="en-US"/>
        </w:rPr>
        <w:t>, Aug. 2013, pp. 44–54.</w:t>
      </w:r>
    </w:p>
    <w:p w14:paraId="67FB0EE0" w14:textId="6C0D0AD5" w:rsidR="00171EBD" w:rsidRPr="00171EBD" w:rsidRDefault="00171EBD" w:rsidP="00171EBD">
      <w:pPr>
        <w:pStyle w:val="Bibliography"/>
        <w:ind w:left="1408" w:hanging="1408"/>
        <w:rPr>
          <w:lang w:val="en-US"/>
        </w:rPr>
      </w:pPr>
      <w:r w:rsidRPr="00171EBD">
        <w:rPr>
          <w:lang w:val="en-US"/>
        </w:rPr>
        <w:t>[25]</w:t>
      </w:r>
      <w:r w:rsidRPr="00171EBD">
        <w:rPr>
          <w:lang w:val="en-US"/>
        </w:rPr>
        <w:tab/>
      </w:r>
      <w:r w:rsidRPr="00171EBD">
        <w:rPr>
          <w:lang w:val="en-US"/>
        </w:rPr>
        <w:tab/>
        <w:t xml:space="preserve">K. Wudy, D. Drummer, F. Kühnlein, and M. Drexler, “Influence of degradation behavior of polyamide 12 powders in laser sintering process on produced parts,” </w:t>
      </w:r>
      <w:r w:rsidRPr="00171EBD">
        <w:rPr>
          <w:i/>
          <w:iCs/>
          <w:lang w:val="en-US"/>
        </w:rPr>
        <w:t>AIP Conference Proceedings</w:t>
      </w:r>
      <w:r w:rsidRPr="00171EBD">
        <w:rPr>
          <w:lang w:val="en-US"/>
        </w:rPr>
        <w:t>, vol. 1593, no. 1, pp. 691–695, 2014, doi: 10.1063/1.4873873.</w:t>
      </w:r>
    </w:p>
    <w:p w14:paraId="25769C0A" w14:textId="4B65857D" w:rsidR="00171EBD" w:rsidRPr="00171EBD" w:rsidRDefault="00171EBD" w:rsidP="00171EBD">
      <w:pPr>
        <w:pStyle w:val="Bibliography"/>
        <w:ind w:left="1408" w:hanging="1408"/>
        <w:rPr>
          <w:lang w:val="en-US"/>
        </w:rPr>
      </w:pPr>
      <w:r w:rsidRPr="00171EBD">
        <w:rPr>
          <w:lang w:val="en-US"/>
        </w:rPr>
        <w:t>[26]</w:t>
      </w:r>
      <w:r w:rsidRPr="00171EBD">
        <w:rPr>
          <w:lang w:val="en-US"/>
        </w:rPr>
        <w:tab/>
      </w:r>
      <w:r w:rsidRPr="00171EBD">
        <w:rPr>
          <w:lang w:val="en-US"/>
        </w:rPr>
        <w:tab/>
        <w:t xml:space="preserve">P. Chen </w:t>
      </w:r>
      <w:r w:rsidRPr="00171EBD">
        <w:rPr>
          <w:i/>
          <w:iCs/>
          <w:lang w:val="en-US"/>
        </w:rPr>
        <w:t>et al.</w:t>
      </w:r>
      <w:r w:rsidRPr="00171EBD">
        <w:rPr>
          <w:lang w:val="en-US"/>
        </w:rPr>
        <w:t xml:space="preserve">, “Investigation into the processability, recyclability and crystalline structure of selective laser sintered Polyamide 6 in comparison with Polyamide 12,” </w:t>
      </w:r>
      <w:r w:rsidRPr="00171EBD">
        <w:rPr>
          <w:i/>
          <w:iCs/>
          <w:lang w:val="en-US"/>
        </w:rPr>
        <w:t>Polymer Testing</w:t>
      </w:r>
      <w:r w:rsidRPr="00171EBD">
        <w:rPr>
          <w:lang w:val="en-US"/>
        </w:rPr>
        <w:t>, vol. 69, pp. 366–374, 2018, doi: https://doi.org/10.1016/j.polymertesting.2018.05.045.</w:t>
      </w:r>
    </w:p>
    <w:p w14:paraId="524CFE5A" w14:textId="10BEECD9" w:rsidR="00171EBD" w:rsidRPr="00171EBD" w:rsidRDefault="00171EBD" w:rsidP="00171EBD">
      <w:pPr>
        <w:pStyle w:val="Bibliography"/>
        <w:ind w:left="1408" w:hanging="1408"/>
        <w:rPr>
          <w:lang w:val="en-US"/>
        </w:rPr>
      </w:pPr>
      <w:r w:rsidRPr="00171EBD">
        <w:rPr>
          <w:lang w:val="en-US"/>
        </w:rPr>
        <w:lastRenderedPageBreak/>
        <w:t>[27]</w:t>
      </w:r>
      <w:r w:rsidRPr="00171EBD">
        <w:rPr>
          <w:lang w:val="en-US"/>
        </w:rPr>
        <w:tab/>
      </w:r>
      <w:r w:rsidRPr="00171EBD">
        <w:rPr>
          <w:lang w:val="en-US"/>
        </w:rPr>
        <w:tab/>
        <w:t xml:space="preserve">K. Wudy and D. Drummer, “AGING BEHAVIOR OF POLYAMIDE 12: INTERRELATION BETWEEN BULK CHARACTERISTICS AND PART PROPERTIES,” in </w:t>
      </w:r>
      <w:r w:rsidRPr="00171EBD">
        <w:rPr>
          <w:i/>
          <w:iCs/>
          <w:lang w:val="en-US"/>
        </w:rPr>
        <w:t>Solid Freeform Fabrication 2016: Proceedings of the 26th Annual International</w:t>
      </w:r>
      <w:r w:rsidRPr="00171EBD">
        <w:rPr>
          <w:lang w:val="en-US"/>
        </w:rPr>
        <w:t>, 2016.</w:t>
      </w:r>
    </w:p>
    <w:p w14:paraId="6EC6B0EA" w14:textId="0790EB8C" w:rsidR="00171EBD" w:rsidRPr="00171EBD" w:rsidRDefault="00171EBD" w:rsidP="00171EBD">
      <w:pPr>
        <w:pStyle w:val="Bibliography"/>
        <w:ind w:left="1408" w:hanging="1408"/>
        <w:rPr>
          <w:lang w:val="en-US"/>
        </w:rPr>
      </w:pPr>
      <w:r w:rsidRPr="00171EBD">
        <w:rPr>
          <w:lang w:val="en-US"/>
        </w:rPr>
        <w:t>[28]</w:t>
      </w:r>
      <w:r w:rsidRPr="00171EBD">
        <w:rPr>
          <w:lang w:val="en-US"/>
        </w:rPr>
        <w:tab/>
      </w:r>
      <w:r w:rsidRPr="00171EBD">
        <w:rPr>
          <w:lang w:val="en-US"/>
        </w:rPr>
        <w:tab/>
        <w:t xml:space="preserve">L. Feng, Y. Wang, and Q. Wei, “PA12 powder recycled from PBF-LB/P for FDM,” </w:t>
      </w:r>
      <w:r w:rsidRPr="00171EBD">
        <w:rPr>
          <w:i/>
          <w:iCs/>
          <w:lang w:val="en-US"/>
        </w:rPr>
        <w:t>Polymers</w:t>
      </w:r>
      <w:r w:rsidRPr="00171EBD">
        <w:rPr>
          <w:lang w:val="en-US"/>
        </w:rPr>
        <w:t>, vol. 11, p. 727, Apr. 2019, doi: 10.3390/polym11040727.</w:t>
      </w:r>
    </w:p>
    <w:p w14:paraId="577DE243" w14:textId="5DA8FB80" w:rsidR="00171EBD" w:rsidRPr="00171EBD" w:rsidRDefault="00171EBD" w:rsidP="00171EBD">
      <w:pPr>
        <w:pStyle w:val="Bibliography"/>
        <w:ind w:left="1408" w:hanging="1408"/>
        <w:rPr>
          <w:lang w:val="en-US"/>
        </w:rPr>
      </w:pPr>
      <w:r w:rsidRPr="00171EBD">
        <w:rPr>
          <w:lang w:val="en-US"/>
        </w:rPr>
        <w:t>[29]</w:t>
      </w:r>
      <w:r w:rsidRPr="00171EBD">
        <w:rPr>
          <w:lang w:val="en-US"/>
        </w:rPr>
        <w:tab/>
      </w:r>
      <w:r w:rsidRPr="00171EBD">
        <w:rPr>
          <w:lang w:val="en-US"/>
        </w:rPr>
        <w:tab/>
        <w:t xml:space="preserve">S. Kumar and A. Czekanski, “Development of filaments using Laser-based Powder Bed Fusion of Polymers waste powder,” </w:t>
      </w:r>
      <w:r w:rsidRPr="00171EBD">
        <w:rPr>
          <w:i/>
          <w:iCs/>
          <w:lang w:val="en-US"/>
        </w:rPr>
        <w:t>Journal of Cleaner Production</w:t>
      </w:r>
      <w:r w:rsidRPr="00171EBD">
        <w:rPr>
          <w:lang w:val="en-US"/>
        </w:rPr>
        <w:t>, vol. 165, pp. 1188–1196, 2017, doi: https://doi.org/10.1016/j.jclepro.2017.07.202.</w:t>
      </w:r>
    </w:p>
    <w:p w14:paraId="135E1BB4" w14:textId="36C54CB2" w:rsidR="00171EBD" w:rsidRPr="00171EBD" w:rsidRDefault="00171EBD" w:rsidP="00171EBD">
      <w:pPr>
        <w:pStyle w:val="Bibliography"/>
        <w:ind w:left="1408" w:hanging="1408"/>
        <w:rPr>
          <w:lang w:val="en-US"/>
        </w:rPr>
      </w:pPr>
      <w:r w:rsidRPr="00171EBD">
        <w:rPr>
          <w:lang w:val="en-US"/>
        </w:rPr>
        <w:t>[30]</w:t>
      </w:r>
      <w:r w:rsidRPr="00171EBD">
        <w:rPr>
          <w:lang w:val="en-US"/>
        </w:rPr>
        <w:tab/>
      </w:r>
      <w:r w:rsidRPr="00171EBD">
        <w:rPr>
          <w:lang w:val="en-US"/>
        </w:rPr>
        <w:tab/>
        <w:t xml:space="preserve">S. Kumar and A. Czekanski, “Roadmap to sustainable plastic additive manufacturing,” </w:t>
      </w:r>
      <w:r w:rsidRPr="00171EBD">
        <w:rPr>
          <w:i/>
          <w:iCs/>
          <w:lang w:val="en-US"/>
        </w:rPr>
        <w:t>Materials Today Communications</w:t>
      </w:r>
      <w:r w:rsidRPr="00171EBD">
        <w:rPr>
          <w:lang w:val="en-US"/>
        </w:rPr>
        <w:t>, vol. 15, pp. 109–113, 2018, doi: https://doi.org/10.1016/j.mtcomm.2018.02.006.</w:t>
      </w:r>
    </w:p>
    <w:p w14:paraId="1C59896E" w14:textId="4A1C116B" w:rsidR="00171EBD" w:rsidRPr="00171EBD" w:rsidRDefault="00171EBD" w:rsidP="00171EBD">
      <w:pPr>
        <w:pStyle w:val="Bibliography"/>
        <w:ind w:left="1408" w:hanging="1408"/>
        <w:rPr>
          <w:lang w:val="en-US"/>
        </w:rPr>
      </w:pPr>
      <w:r w:rsidRPr="00171EBD">
        <w:rPr>
          <w:lang w:val="en-US"/>
        </w:rPr>
        <w:t>[31]</w:t>
      </w:r>
      <w:r w:rsidRPr="00171EBD">
        <w:rPr>
          <w:lang w:val="en-US"/>
        </w:rPr>
        <w:tab/>
      </w:r>
      <w:r w:rsidRPr="00171EBD">
        <w:rPr>
          <w:lang w:val="en-US"/>
        </w:rPr>
        <w:tab/>
        <w:t xml:space="preserve">N. Vidakis </w:t>
      </w:r>
      <w:r w:rsidRPr="00171EBD">
        <w:rPr>
          <w:i/>
          <w:iCs/>
          <w:lang w:val="en-US"/>
        </w:rPr>
        <w:t>et al.</w:t>
      </w:r>
      <w:r w:rsidRPr="00171EBD">
        <w:rPr>
          <w:lang w:val="en-US"/>
        </w:rPr>
        <w:t xml:space="preserve">, “Sustainable Additive Manufacturing: Mechanical Response of Polyamide 12 over Multiple Recycling Processes,” </w:t>
      </w:r>
      <w:r w:rsidRPr="00171EBD">
        <w:rPr>
          <w:i/>
          <w:iCs/>
          <w:lang w:val="en-US"/>
        </w:rPr>
        <w:t>Materials</w:t>
      </w:r>
      <w:r w:rsidRPr="00171EBD">
        <w:rPr>
          <w:lang w:val="en-US"/>
        </w:rPr>
        <w:t>, vol. 14, no. 2, 2021, doi: 10.3390/ma14020466.</w:t>
      </w:r>
    </w:p>
    <w:p w14:paraId="707931AC" w14:textId="6C2A30B6" w:rsidR="00171EBD" w:rsidRPr="00171EBD" w:rsidRDefault="00171EBD" w:rsidP="00171EBD">
      <w:pPr>
        <w:pStyle w:val="Bibliography"/>
        <w:ind w:left="1408" w:hanging="1408"/>
        <w:rPr>
          <w:lang w:val="en-US"/>
        </w:rPr>
      </w:pPr>
      <w:r w:rsidRPr="00171EBD">
        <w:rPr>
          <w:lang w:val="en-US"/>
        </w:rPr>
        <w:t>[32]</w:t>
      </w:r>
      <w:r w:rsidRPr="00171EBD">
        <w:rPr>
          <w:lang w:val="en-US"/>
        </w:rPr>
        <w:tab/>
      </w:r>
      <w:r w:rsidRPr="00171EBD">
        <w:rPr>
          <w:lang w:val="en-US"/>
        </w:rPr>
        <w:tab/>
        <w:t xml:space="preserve">J. Rezaei, “Best-worst multi-criteria decision-making method,” </w:t>
      </w:r>
      <w:r w:rsidRPr="00171EBD">
        <w:rPr>
          <w:i/>
          <w:iCs/>
          <w:lang w:val="en-US"/>
        </w:rPr>
        <w:t>Omega</w:t>
      </w:r>
      <w:r w:rsidRPr="00171EBD">
        <w:rPr>
          <w:lang w:val="en-US"/>
        </w:rPr>
        <w:t>, vol. 53, pp. 49–57, 2015,</w:t>
      </w:r>
    </w:p>
    <w:p w14:paraId="31FA0DEA" w14:textId="1BEEBB43" w:rsidR="00171EBD" w:rsidRPr="00171EBD" w:rsidRDefault="00171EBD" w:rsidP="00171EBD">
      <w:pPr>
        <w:pStyle w:val="Bibliography"/>
        <w:ind w:left="1408"/>
        <w:rPr>
          <w:lang w:val="en-US"/>
        </w:rPr>
      </w:pPr>
      <w:r w:rsidRPr="00171EBD">
        <w:rPr>
          <w:lang w:val="en-US"/>
        </w:rPr>
        <w:t>doi: https://doi.org/10.1016/j.omega.2014.11.009.</w:t>
      </w:r>
    </w:p>
    <w:p w14:paraId="56881DAE" w14:textId="77777777" w:rsidR="00171EBD" w:rsidRPr="00171EBD" w:rsidRDefault="00171EBD" w:rsidP="00171EBD">
      <w:pPr>
        <w:pStyle w:val="Bibliography"/>
        <w:ind w:left="1408" w:hanging="1408"/>
        <w:rPr>
          <w:lang w:val="en-US"/>
        </w:rPr>
      </w:pPr>
      <w:r w:rsidRPr="00171EBD">
        <w:rPr>
          <w:lang w:val="en-US"/>
        </w:rPr>
        <w:t>[33]</w:t>
      </w:r>
      <w:r w:rsidRPr="00171EBD">
        <w:rPr>
          <w:lang w:val="en-US"/>
        </w:rPr>
        <w:tab/>
      </w:r>
      <w:r w:rsidRPr="00171EBD">
        <w:rPr>
          <w:lang w:val="en-US"/>
        </w:rPr>
        <w:tab/>
        <w:t xml:space="preserve">Athok, “The Noun Project.” The Noun Project: Icons for everything. Accessed: Oct. 31, 2025. [Online]. </w:t>
      </w:r>
    </w:p>
    <w:p w14:paraId="60F49263" w14:textId="2F61D07D" w:rsidR="00171EBD" w:rsidRPr="00171EBD" w:rsidRDefault="00171EBD" w:rsidP="00171EBD">
      <w:pPr>
        <w:pStyle w:val="Bibliography"/>
        <w:ind w:left="1408"/>
        <w:rPr>
          <w:lang w:val="en-US"/>
        </w:rPr>
      </w:pPr>
      <w:r w:rsidRPr="00171EBD">
        <w:rPr>
          <w:lang w:val="en-US"/>
        </w:rPr>
        <w:t>Available: https://thenounproject.com</w:t>
      </w:r>
    </w:p>
    <w:p w14:paraId="21A0CBA4" w14:textId="299BAD41" w:rsidR="00171EBD" w:rsidRPr="00171EBD" w:rsidRDefault="00171EBD" w:rsidP="00171EBD">
      <w:pPr>
        <w:pStyle w:val="Bibliography"/>
        <w:ind w:left="1408" w:hanging="1408"/>
        <w:rPr>
          <w:lang w:val="en-US"/>
        </w:rPr>
      </w:pPr>
      <w:r w:rsidRPr="00171EBD">
        <w:rPr>
          <w:lang w:val="en-US"/>
        </w:rPr>
        <w:t>[34]</w:t>
      </w:r>
      <w:r w:rsidRPr="00171EBD">
        <w:rPr>
          <w:lang w:val="en-US"/>
        </w:rPr>
        <w:tab/>
      </w:r>
      <w:r w:rsidRPr="00171EBD">
        <w:rPr>
          <w:lang w:val="en-US"/>
        </w:rPr>
        <w:tab/>
        <w:t xml:space="preserve">T. Abdallah, “Chapter 4 - Environmental Impacts,” in </w:t>
      </w:r>
      <w:r w:rsidRPr="00171EBD">
        <w:rPr>
          <w:i/>
          <w:iCs/>
          <w:lang w:val="en-US"/>
        </w:rPr>
        <w:t>Sustainable Mass Transit</w:t>
      </w:r>
      <w:r w:rsidRPr="00171EBD">
        <w:rPr>
          <w:lang w:val="en-US"/>
        </w:rPr>
        <w:t>, T. Abdallah, Ed., Elsevier, 2017, pp. 45–59. doi: https://doi.org/10.1016/B978-0-12-811299-1.00004-6.</w:t>
      </w:r>
    </w:p>
    <w:p w14:paraId="30B106BB" w14:textId="5452691C" w:rsidR="00171EBD" w:rsidRPr="00171EBD" w:rsidRDefault="00171EBD" w:rsidP="00171EBD">
      <w:pPr>
        <w:pStyle w:val="Bibliography"/>
        <w:ind w:left="1408" w:hanging="1408"/>
        <w:rPr>
          <w:lang w:val="en-US"/>
        </w:rPr>
      </w:pPr>
      <w:r w:rsidRPr="00171EBD">
        <w:rPr>
          <w:lang w:val="en-US"/>
        </w:rPr>
        <w:t>[35]</w:t>
      </w:r>
      <w:r w:rsidRPr="00171EBD">
        <w:rPr>
          <w:lang w:val="en-US"/>
        </w:rPr>
        <w:tab/>
      </w:r>
      <w:r w:rsidRPr="00171EBD">
        <w:rPr>
          <w:lang w:val="en-US"/>
        </w:rPr>
        <w:tab/>
        <w:t xml:space="preserve">R. A. Clarke </w:t>
      </w:r>
      <w:r w:rsidRPr="00171EBD">
        <w:rPr>
          <w:i/>
          <w:iCs/>
          <w:lang w:val="en-US"/>
        </w:rPr>
        <w:t>et al.</w:t>
      </w:r>
      <w:r w:rsidRPr="00171EBD">
        <w:rPr>
          <w:lang w:val="en-US"/>
        </w:rPr>
        <w:t xml:space="preserve">, “The Challenge of Going Green,” </w:t>
      </w:r>
      <w:r w:rsidRPr="00171EBD">
        <w:rPr>
          <w:i/>
          <w:iCs/>
          <w:lang w:val="en-US"/>
        </w:rPr>
        <w:t>Harvard Business Review</w:t>
      </w:r>
      <w:r w:rsidRPr="00171EBD">
        <w:rPr>
          <w:lang w:val="en-US"/>
        </w:rPr>
        <w:t>, 1994, [Online]. Available: https://hbr.org/1994/07/the-challenge-of-going-green</w:t>
      </w:r>
    </w:p>
    <w:p w14:paraId="125BF799" w14:textId="434420BE" w:rsidR="00171EBD" w:rsidRPr="00171EBD" w:rsidRDefault="00171EBD" w:rsidP="00171EBD">
      <w:pPr>
        <w:pStyle w:val="Bibliography"/>
        <w:ind w:left="1408" w:hanging="1408"/>
        <w:rPr>
          <w:lang w:val="en-US"/>
        </w:rPr>
      </w:pPr>
      <w:r w:rsidRPr="00171EBD">
        <w:rPr>
          <w:lang w:val="en-US"/>
        </w:rPr>
        <w:t>[36]</w:t>
      </w:r>
      <w:r w:rsidRPr="00171EBD">
        <w:rPr>
          <w:lang w:val="en-US"/>
        </w:rPr>
        <w:tab/>
      </w:r>
      <w:r w:rsidRPr="00171EBD">
        <w:rPr>
          <w:lang w:val="en-US"/>
        </w:rPr>
        <w:tab/>
        <w:t xml:space="preserve">D. Ettehadieh, “Cost-Benefit Analysis of Recycling in the United States: Is Recycling Worth It?,” </w:t>
      </w:r>
      <w:r w:rsidRPr="00171EBD">
        <w:rPr>
          <w:i/>
          <w:iCs/>
          <w:lang w:val="en-US"/>
        </w:rPr>
        <w:t>Department of English - University of Maryland</w:t>
      </w:r>
      <w:r w:rsidRPr="00171EBD">
        <w:rPr>
          <w:lang w:val="en-US"/>
        </w:rPr>
        <w:t>, 2011, [Online].</w:t>
      </w:r>
    </w:p>
    <w:p w14:paraId="6D365CE1" w14:textId="5B2BF2AA" w:rsidR="00171EBD" w:rsidRPr="00171EBD" w:rsidRDefault="00171EBD" w:rsidP="00171EBD">
      <w:pPr>
        <w:pStyle w:val="Bibliography"/>
        <w:ind w:left="1408" w:hanging="1408"/>
        <w:rPr>
          <w:lang w:val="en-US"/>
        </w:rPr>
      </w:pPr>
      <w:r w:rsidRPr="00171EBD">
        <w:rPr>
          <w:lang w:val="en-US"/>
        </w:rPr>
        <w:t>[37]</w:t>
      </w:r>
      <w:r w:rsidRPr="00171EBD">
        <w:rPr>
          <w:lang w:val="en-US"/>
        </w:rPr>
        <w:tab/>
      </w:r>
      <w:r w:rsidRPr="00171EBD">
        <w:rPr>
          <w:lang w:val="en-US"/>
        </w:rPr>
        <w:tab/>
        <w:t xml:space="preserve">G. T. Doran, “There’s a SMART Way to Write Management’s Goals and Objectives.,” </w:t>
      </w:r>
      <w:r w:rsidRPr="00171EBD">
        <w:rPr>
          <w:i/>
          <w:iCs/>
          <w:lang w:val="en-US"/>
        </w:rPr>
        <w:t>CJournal of Management Review</w:t>
      </w:r>
      <w:r w:rsidRPr="00171EBD">
        <w:rPr>
          <w:lang w:val="en-US"/>
        </w:rPr>
        <w:t>, 1981, [Online]. Available: https://community.mis.temple.edu/mis0855002fall2015/files/2015/10/S.M.A.R.T-Way-Management-Review.pdf</w:t>
      </w:r>
    </w:p>
    <w:p w14:paraId="59961BB2" w14:textId="40095A12" w:rsidR="00171EBD" w:rsidRPr="00171EBD" w:rsidRDefault="00171EBD" w:rsidP="00171EBD">
      <w:pPr>
        <w:pStyle w:val="Bibliography"/>
        <w:ind w:left="1408" w:hanging="1408"/>
        <w:rPr>
          <w:lang w:val="en-US"/>
        </w:rPr>
      </w:pPr>
      <w:r w:rsidRPr="00171EBD">
        <w:rPr>
          <w:lang w:val="en-US"/>
        </w:rPr>
        <w:t>[38]</w:t>
      </w:r>
      <w:r w:rsidRPr="00171EBD">
        <w:rPr>
          <w:lang w:val="en-US"/>
        </w:rPr>
        <w:tab/>
      </w:r>
      <w:r w:rsidRPr="00171EBD">
        <w:rPr>
          <w:lang w:val="en-US"/>
        </w:rPr>
        <w:tab/>
        <w:t>C. Fan, J. Carrell, and H.-C. Zhang, “An investigation of indicators for measuring sustainable manufacturing,” Jun. 2010, pp. 1–5. doi: 10.1109/ISSST.2010.5507764.</w:t>
      </w:r>
    </w:p>
    <w:p w14:paraId="6EB17485" w14:textId="41D1371C" w:rsidR="00171EBD" w:rsidRPr="00171EBD" w:rsidRDefault="00171EBD" w:rsidP="00171EBD">
      <w:pPr>
        <w:pStyle w:val="Bibliography"/>
        <w:ind w:left="1408" w:hanging="1408"/>
        <w:rPr>
          <w:lang w:val="en-US"/>
        </w:rPr>
      </w:pPr>
      <w:r w:rsidRPr="00171EBD">
        <w:rPr>
          <w:lang w:val="en-US"/>
        </w:rPr>
        <w:t>[39]</w:t>
      </w:r>
      <w:r w:rsidRPr="00171EBD">
        <w:rPr>
          <w:lang w:val="en-US"/>
        </w:rPr>
        <w:tab/>
      </w:r>
      <w:r w:rsidRPr="00171EBD">
        <w:rPr>
          <w:lang w:val="en-US"/>
        </w:rPr>
        <w:tab/>
        <w:t xml:space="preserve">D. Krajnc and P. Glavič, “Indicators of Sustainable Production,” </w:t>
      </w:r>
      <w:r w:rsidRPr="00171EBD">
        <w:rPr>
          <w:i/>
          <w:iCs/>
          <w:lang w:val="en-US"/>
        </w:rPr>
        <w:t>Clean Technologies and Environmental Policy</w:t>
      </w:r>
      <w:r w:rsidRPr="00171EBD">
        <w:rPr>
          <w:lang w:val="en-US"/>
        </w:rPr>
        <w:t>, vol. 5, pp. 279–288, Oct. 2003, doi: 10.1007/s10098-003-0221-z.</w:t>
      </w:r>
    </w:p>
    <w:p w14:paraId="28D011FF" w14:textId="123C0D75" w:rsidR="00171EBD" w:rsidRPr="00171EBD" w:rsidRDefault="00171EBD" w:rsidP="00171EBD">
      <w:pPr>
        <w:pStyle w:val="Bibliography"/>
        <w:ind w:left="1408" w:hanging="1408"/>
        <w:rPr>
          <w:lang w:val="en-US"/>
        </w:rPr>
      </w:pPr>
      <w:r w:rsidRPr="00171EBD">
        <w:rPr>
          <w:lang w:val="en-US"/>
        </w:rPr>
        <w:t>[40]</w:t>
      </w:r>
      <w:r w:rsidRPr="00171EBD">
        <w:rPr>
          <w:lang w:val="en-US"/>
        </w:rPr>
        <w:tab/>
      </w:r>
      <w:r w:rsidRPr="00171EBD">
        <w:rPr>
          <w:lang w:val="en-US"/>
        </w:rPr>
        <w:tab/>
        <w:t xml:space="preserve">E. Smeets and R. Weterings, “Environmental indicators: Typology and overview,” </w:t>
      </w:r>
      <w:r w:rsidRPr="00171EBD">
        <w:rPr>
          <w:i/>
          <w:iCs/>
          <w:lang w:val="en-US"/>
        </w:rPr>
        <w:t>European Environment Agency</w:t>
      </w:r>
      <w:r w:rsidRPr="00171EBD">
        <w:rPr>
          <w:lang w:val="en-US"/>
        </w:rPr>
        <w:t>, 1999.</w:t>
      </w:r>
    </w:p>
    <w:p w14:paraId="514F2AE5" w14:textId="24DD04A4" w:rsidR="00171EBD" w:rsidRPr="00171EBD" w:rsidRDefault="00171EBD" w:rsidP="00171EBD">
      <w:pPr>
        <w:pStyle w:val="Bibliography"/>
        <w:ind w:left="1408" w:hanging="1408"/>
        <w:rPr>
          <w:lang w:val="en-US"/>
        </w:rPr>
      </w:pPr>
      <w:r w:rsidRPr="00171EBD">
        <w:rPr>
          <w:lang w:val="en-US"/>
        </w:rPr>
        <w:t>[41]</w:t>
      </w:r>
      <w:r w:rsidRPr="00171EBD">
        <w:rPr>
          <w:lang w:val="en-US"/>
        </w:rPr>
        <w:tab/>
      </w:r>
      <w:r w:rsidRPr="00171EBD">
        <w:rPr>
          <w:lang w:val="en-US"/>
        </w:rPr>
        <w:tab/>
        <w:t>A. Barone, “Economic Indicator: Definition and How to Interpret,” Jun. 2021.</w:t>
      </w:r>
    </w:p>
    <w:p w14:paraId="652D6310" w14:textId="4E07D7D3" w:rsidR="00171EBD" w:rsidRPr="00171EBD" w:rsidRDefault="00171EBD" w:rsidP="00171EBD">
      <w:pPr>
        <w:pStyle w:val="Bibliography"/>
        <w:ind w:left="1408" w:hanging="1408"/>
        <w:rPr>
          <w:lang w:val="en-US"/>
        </w:rPr>
      </w:pPr>
      <w:r w:rsidRPr="00171EBD">
        <w:rPr>
          <w:lang w:val="en-US"/>
        </w:rPr>
        <w:lastRenderedPageBreak/>
        <w:t>[42]</w:t>
      </w:r>
      <w:r w:rsidRPr="00171EBD">
        <w:rPr>
          <w:lang w:val="en-US"/>
        </w:rPr>
        <w:tab/>
      </w:r>
      <w:r w:rsidRPr="00171EBD">
        <w:rPr>
          <w:lang w:val="en-US"/>
        </w:rPr>
        <w:tab/>
        <w:t xml:space="preserve">A. Dylan and J. Coates, “The Spirituality of Justice: Bringing Together the Eco and the Social,” </w:t>
      </w:r>
      <w:r w:rsidRPr="00171EBD">
        <w:rPr>
          <w:i/>
          <w:iCs/>
          <w:lang w:val="en-US"/>
        </w:rPr>
        <w:t>Journal of Religion &amp; Spirituality in Social Work: Social Thought</w:t>
      </w:r>
      <w:r w:rsidRPr="00171EBD">
        <w:rPr>
          <w:lang w:val="en-US"/>
        </w:rPr>
        <w:t>, vol. 31, no. 1–2, pp. 128–149, 2012, doi: 10.1080/15426432.2012.647895.</w:t>
      </w:r>
    </w:p>
    <w:p w14:paraId="193E4EC8" w14:textId="1DEFA819" w:rsidR="00171EBD" w:rsidRPr="00171EBD" w:rsidRDefault="00171EBD" w:rsidP="00171EBD">
      <w:pPr>
        <w:pStyle w:val="Bibliography"/>
        <w:ind w:left="1408" w:hanging="1408"/>
        <w:rPr>
          <w:lang w:val="en-US"/>
        </w:rPr>
      </w:pPr>
      <w:r w:rsidRPr="00171EBD">
        <w:rPr>
          <w:lang w:val="en-US"/>
        </w:rPr>
        <w:t>[43]</w:t>
      </w:r>
      <w:r w:rsidRPr="00171EBD">
        <w:rPr>
          <w:lang w:val="en-US"/>
        </w:rPr>
        <w:tab/>
      </w:r>
      <w:r w:rsidRPr="00171EBD">
        <w:rPr>
          <w:lang w:val="en-US"/>
        </w:rPr>
        <w:tab/>
        <w:t>Wanner Technik GmbH, “The Dynamic-Series.” 2022. [Online]. Available: https://www.wanner-technik.de/en/granulators/dynamic/</w:t>
      </w:r>
    </w:p>
    <w:p w14:paraId="06610CB3" w14:textId="0E1096E2" w:rsidR="00171EBD" w:rsidRPr="00171EBD" w:rsidRDefault="00171EBD" w:rsidP="00171EBD">
      <w:pPr>
        <w:pStyle w:val="Bibliography"/>
        <w:ind w:left="1408" w:hanging="1408"/>
        <w:rPr>
          <w:lang w:val="en-US"/>
        </w:rPr>
      </w:pPr>
      <w:r w:rsidRPr="00171EBD">
        <w:rPr>
          <w:lang w:val="en-US"/>
        </w:rPr>
        <w:t>[44]</w:t>
      </w:r>
      <w:r w:rsidRPr="00171EBD">
        <w:rPr>
          <w:lang w:val="en-US"/>
        </w:rPr>
        <w:tab/>
      </w:r>
      <w:r w:rsidRPr="00171EBD">
        <w:rPr>
          <w:lang w:val="en-US"/>
        </w:rPr>
        <w:tab/>
        <w:t>DIN, “Plastics – Determination of tensile properties – Part 2: Test conditions for moulding and extrusion plastics (ISO 527-2:2012); German version EN ISO 527-2:2012.” Jun. 2012.</w:t>
      </w:r>
    </w:p>
    <w:p w14:paraId="5430F1CA" w14:textId="2D7920BD" w:rsidR="00171EBD" w:rsidRPr="00171EBD" w:rsidRDefault="00171EBD" w:rsidP="00171EBD">
      <w:pPr>
        <w:pStyle w:val="Bibliography"/>
        <w:ind w:left="1408" w:hanging="1408"/>
        <w:rPr>
          <w:lang w:val="en-US"/>
        </w:rPr>
      </w:pPr>
      <w:r w:rsidRPr="00171EBD">
        <w:rPr>
          <w:lang w:val="en-US"/>
        </w:rPr>
        <w:t>[45]</w:t>
      </w:r>
      <w:r w:rsidRPr="00171EBD">
        <w:rPr>
          <w:lang w:val="en-US"/>
        </w:rPr>
        <w:tab/>
      </w:r>
      <w:r w:rsidRPr="00171EBD">
        <w:rPr>
          <w:lang w:val="en-US"/>
        </w:rPr>
        <w:tab/>
        <w:t>BCN3D, “BCN3D SIGMA D25.” 2022. [Online]. Available: https://www.bcn3d.com/bcn3d-sigma-d25/</w:t>
      </w:r>
    </w:p>
    <w:p w14:paraId="74B8A626" w14:textId="1AE9B4D3" w:rsidR="00171EBD" w:rsidRPr="00171EBD" w:rsidRDefault="00171EBD" w:rsidP="00171EBD">
      <w:pPr>
        <w:pStyle w:val="Bibliography"/>
        <w:ind w:left="1408" w:hanging="1408"/>
        <w:rPr>
          <w:lang w:val="en-US"/>
        </w:rPr>
      </w:pPr>
      <w:r w:rsidRPr="00171EBD">
        <w:rPr>
          <w:lang w:val="en-US"/>
        </w:rPr>
        <w:t>[46]</w:t>
      </w:r>
      <w:r w:rsidRPr="00171EBD">
        <w:rPr>
          <w:lang w:val="en-US"/>
        </w:rPr>
        <w:tab/>
      </w:r>
      <w:r w:rsidRPr="00171EBD">
        <w:rPr>
          <w:lang w:val="en-US"/>
        </w:rPr>
        <w:tab/>
        <w:t xml:space="preserve">G. Ćwikła, C. Grabowik, K. Kalinowski, I. Paprocka, and P. Ociepka, “The influence of printing parameters on selected mechanical properties of FDM/MEX 3D-printed parts,” </w:t>
      </w:r>
      <w:r w:rsidRPr="00171EBD">
        <w:rPr>
          <w:i/>
          <w:iCs/>
          <w:lang w:val="en-US"/>
        </w:rPr>
        <w:t>IOP Conference Series: Materials Science and Engineering</w:t>
      </w:r>
      <w:r w:rsidRPr="00171EBD">
        <w:rPr>
          <w:lang w:val="en-US"/>
        </w:rPr>
        <w:t>, vol. 227, Aug. 2017, doi: 10.1088/1757-899X/227/1/012033.</w:t>
      </w:r>
    </w:p>
    <w:p w14:paraId="6ACB02DA" w14:textId="12CAC50B" w:rsidR="00171EBD" w:rsidRPr="00171EBD" w:rsidRDefault="00171EBD" w:rsidP="00171EBD">
      <w:pPr>
        <w:pStyle w:val="Bibliography"/>
        <w:ind w:left="1408" w:hanging="1408"/>
        <w:rPr>
          <w:lang w:val="en-US"/>
        </w:rPr>
      </w:pPr>
      <w:r w:rsidRPr="00171EBD">
        <w:rPr>
          <w:lang w:val="en-US"/>
        </w:rPr>
        <w:t>[47]</w:t>
      </w:r>
      <w:r w:rsidRPr="00171EBD">
        <w:rPr>
          <w:lang w:val="en-US"/>
        </w:rPr>
        <w:tab/>
      </w:r>
      <w:r w:rsidRPr="00171EBD">
        <w:rPr>
          <w:lang w:val="en-US"/>
        </w:rPr>
        <w:tab/>
        <w:t xml:space="preserve">L. Fang, Y. Yan, O. Agarwal, S. Yao, J. Seppala, and S. Kang, “Effects of Environmental Temperature and Humidity on the Geometry and Strength of Polycarbonate Specimens Prepared by Material Extrusion,” </w:t>
      </w:r>
      <w:r w:rsidRPr="00171EBD">
        <w:rPr>
          <w:i/>
          <w:iCs/>
          <w:lang w:val="en-US"/>
        </w:rPr>
        <w:t>Materials (Basel, Switzerland)</w:t>
      </w:r>
      <w:r w:rsidRPr="00171EBD">
        <w:rPr>
          <w:lang w:val="en-US"/>
        </w:rPr>
        <w:t>, vol. 13, Oct. 2020, doi: 10.3390/ma13194414.</w:t>
      </w:r>
    </w:p>
    <w:p w14:paraId="09395990" w14:textId="07F5E7EE" w:rsidR="00171EBD" w:rsidRPr="00171EBD" w:rsidRDefault="00171EBD" w:rsidP="00171EBD">
      <w:pPr>
        <w:pStyle w:val="Bibliography"/>
        <w:ind w:left="1408" w:hanging="1408"/>
        <w:rPr>
          <w:lang w:val="en-US"/>
        </w:rPr>
      </w:pPr>
      <w:r w:rsidRPr="00171EBD">
        <w:rPr>
          <w:lang w:val="en-US"/>
        </w:rPr>
        <w:t>[48]</w:t>
      </w:r>
      <w:r w:rsidRPr="00171EBD">
        <w:rPr>
          <w:lang w:val="en-US"/>
        </w:rPr>
        <w:tab/>
      </w:r>
      <w:r w:rsidRPr="00171EBD">
        <w:rPr>
          <w:lang w:val="en-US"/>
        </w:rPr>
        <w:tab/>
        <w:t>ZwickRoell GmbH &amp; Co. KG, “ProLine for standardized tests.” 2022. [Online]. Available: https://www.zwickroell.com/products/static-materials-testing-machines/universal-testing-machines-for-static-applications/proline/</w:t>
      </w:r>
    </w:p>
    <w:p w14:paraId="782DA03B" w14:textId="7FCF3A06" w:rsidR="00171EBD" w:rsidRPr="00171EBD" w:rsidRDefault="00171EBD" w:rsidP="00171EBD">
      <w:pPr>
        <w:pStyle w:val="Bibliography"/>
        <w:ind w:left="1408" w:hanging="1408"/>
        <w:rPr>
          <w:lang w:val="en-US"/>
        </w:rPr>
      </w:pPr>
      <w:r w:rsidRPr="00171EBD">
        <w:rPr>
          <w:lang w:val="es-MX"/>
        </w:rPr>
        <w:t>[49]</w:t>
      </w:r>
      <w:r w:rsidRPr="00171EBD">
        <w:rPr>
          <w:lang w:val="es-MX"/>
        </w:rPr>
        <w:tab/>
      </w:r>
      <w:r w:rsidRPr="00171EBD">
        <w:rPr>
          <w:lang w:val="es-MX"/>
        </w:rPr>
        <w:tab/>
        <w:t xml:space="preserve">UN Global Compact, “Social Sustainability.” </w:t>
      </w:r>
      <w:r w:rsidRPr="00171EBD">
        <w:rPr>
          <w:lang w:val="en-US"/>
        </w:rPr>
        <w:t>2022. [Online]. Available: https://www.unglobalcompact.org/what-is-gc/our-work/social</w:t>
      </w:r>
    </w:p>
    <w:p w14:paraId="0968FD1C" w14:textId="4BF1EA98" w:rsidR="00171EBD" w:rsidRPr="00171EBD" w:rsidRDefault="00171EBD" w:rsidP="00171EBD">
      <w:pPr>
        <w:pStyle w:val="Bibliography"/>
        <w:ind w:left="1408" w:hanging="1408"/>
        <w:rPr>
          <w:lang w:val="en-US"/>
        </w:rPr>
      </w:pPr>
      <w:r w:rsidRPr="00171EBD">
        <w:rPr>
          <w:lang w:val="en-US"/>
        </w:rPr>
        <w:t>[50]</w:t>
      </w:r>
      <w:r w:rsidRPr="00171EBD">
        <w:rPr>
          <w:lang w:val="en-US"/>
        </w:rPr>
        <w:tab/>
      </w:r>
      <w:r w:rsidRPr="00171EBD">
        <w:rPr>
          <w:lang w:val="en-US"/>
        </w:rPr>
        <w:tab/>
        <w:t xml:space="preserve">P. Braveman and S. Gruskin, “Poverty, Equity, Human Rights and Health,” </w:t>
      </w:r>
      <w:r w:rsidRPr="00171EBD">
        <w:rPr>
          <w:i/>
          <w:iCs/>
          <w:lang w:val="en-US"/>
        </w:rPr>
        <w:t>Bulletin of the World Health Organization</w:t>
      </w:r>
      <w:r w:rsidRPr="00171EBD">
        <w:rPr>
          <w:lang w:val="en-US"/>
        </w:rPr>
        <w:t>, vol. 81, pp. 539–45, Feb. 2003, doi: 10.1590/S0042-96862003000700013.</w:t>
      </w:r>
    </w:p>
    <w:p w14:paraId="6CFB4AEC" w14:textId="27A9043F" w:rsidR="00FB5B64" w:rsidRPr="00171EBD" w:rsidRDefault="00171EBD" w:rsidP="00171EBD">
      <w:pPr>
        <w:pStyle w:val="Bibliography"/>
        <w:ind w:left="1408" w:hanging="1408"/>
        <w:rPr>
          <w:lang w:val="en-US"/>
        </w:rPr>
      </w:pPr>
      <w:r w:rsidRPr="00171EBD">
        <w:rPr>
          <w:lang w:val="en-US"/>
        </w:rPr>
        <w:t>[51]</w:t>
      </w:r>
      <w:r w:rsidRPr="00171EBD">
        <w:rPr>
          <w:lang w:val="en-US"/>
        </w:rPr>
        <w:tab/>
      </w:r>
      <w:r w:rsidRPr="00171EBD">
        <w:rPr>
          <w:lang w:val="en-US"/>
        </w:rPr>
        <w:tab/>
        <w:t xml:space="preserve">R. Kukreja, “Various Advantages and Disadvantages of Recycling,” </w:t>
      </w:r>
      <w:r w:rsidRPr="00171EBD">
        <w:rPr>
          <w:i/>
          <w:iCs/>
          <w:lang w:val="en-US"/>
        </w:rPr>
        <w:t>Conserve Energy Future</w:t>
      </w:r>
      <w:r w:rsidRPr="00171EBD">
        <w:rPr>
          <w:lang w:val="en-US"/>
        </w:rPr>
        <w:t xml:space="preserve">, 2022, [Online]. </w:t>
      </w:r>
      <w:r w:rsidRPr="00171EBD">
        <w:fldChar w:fldCharType="end"/>
      </w:r>
    </w:p>
    <w:p w14:paraId="38B28C8E" w14:textId="2D45A881" w:rsidR="00942275" w:rsidRPr="00CF57A8" w:rsidRDefault="00942275" w:rsidP="00FB5B64">
      <w:pPr>
        <w:pStyle w:val="Heading10"/>
      </w:pPr>
      <w:r w:rsidRPr="00CF57A8">
        <w:t>Kontaktangaben</w:t>
      </w:r>
    </w:p>
    <w:p w14:paraId="46F045F6" w14:textId="7DE74D07" w:rsidR="00275ACE" w:rsidRPr="00131BBB" w:rsidRDefault="00131BBB" w:rsidP="00FB5B64">
      <w:pPr>
        <w:jc w:val="left"/>
        <w:rPr>
          <w:lang w:val="en-US"/>
        </w:rPr>
      </w:pPr>
      <w:r w:rsidRPr="00131BBB">
        <w:rPr>
          <w:lang w:val="en-US"/>
        </w:rPr>
        <w:t>Ottavia Aleo</w:t>
      </w:r>
      <w:r w:rsidR="00FB5B64" w:rsidRPr="00131BBB">
        <w:rPr>
          <w:lang w:val="en-US"/>
        </w:rPr>
        <w:t xml:space="preserve"> </w:t>
      </w:r>
      <w:r w:rsidR="00D50992" w:rsidRPr="00131BBB">
        <w:rPr>
          <w:lang w:val="en-US"/>
        </w:rPr>
        <w:br/>
      </w:r>
      <w:r w:rsidRPr="00131BBB">
        <w:rPr>
          <w:rFonts w:ascii="Verdana Pro Light" w:hAnsi="Verdana Pro Light"/>
          <w:lang w:val="en-US"/>
        </w:rPr>
        <w:t xml:space="preserve">Chair of Material Handling, Material Flow, Logistics, Technical University of Munich </w:t>
      </w:r>
      <w:proofErr w:type="spellStart"/>
      <w:r w:rsidRPr="00131BBB">
        <w:rPr>
          <w:rFonts w:ascii="Verdana Pro Light" w:hAnsi="Verdana Pro Light"/>
          <w:lang w:val="en-US"/>
        </w:rPr>
        <w:t>Boltzmannstraße</w:t>
      </w:r>
      <w:proofErr w:type="spellEnd"/>
      <w:r w:rsidRPr="00131BBB">
        <w:rPr>
          <w:rFonts w:ascii="Verdana Pro Light" w:hAnsi="Verdana Pro Light"/>
          <w:lang w:val="en-US"/>
        </w:rPr>
        <w:t xml:space="preserve"> 15, 85748 </w:t>
      </w:r>
      <w:proofErr w:type="spellStart"/>
      <w:r w:rsidRPr="00131BBB">
        <w:rPr>
          <w:rFonts w:ascii="Verdana Pro Light" w:hAnsi="Verdana Pro Light"/>
          <w:lang w:val="en-US"/>
        </w:rPr>
        <w:t>Garching</w:t>
      </w:r>
      <w:proofErr w:type="spellEnd"/>
      <w:r w:rsidRPr="00131BBB">
        <w:rPr>
          <w:rFonts w:ascii="Verdana Pro Light" w:hAnsi="Verdana Pro Light"/>
          <w:lang w:val="en-US"/>
        </w:rPr>
        <w:t>, Germany</w:t>
      </w:r>
      <w:r w:rsidR="00D50992" w:rsidRPr="00131BBB">
        <w:rPr>
          <w:lang w:val="en-US"/>
        </w:rPr>
        <w:br/>
        <w:t>E</w:t>
      </w:r>
      <w:r w:rsidR="00F90645" w:rsidRPr="00131BBB">
        <w:rPr>
          <w:lang w:val="en-US"/>
        </w:rPr>
        <w:t>-M</w:t>
      </w:r>
      <w:r w:rsidR="00D50992" w:rsidRPr="00131BBB">
        <w:rPr>
          <w:lang w:val="en-US"/>
        </w:rPr>
        <w:t xml:space="preserve">ail: </w:t>
      </w:r>
      <w:hyperlink r:id="rId32" w:history="1">
        <w:r w:rsidRPr="00131BBB">
          <w:rPr>
            <w:rStyle w:val="Hyperlink"/>
            <w:rFonts w:ascii="Verdana Pro" w:hAnsi="Verdana Pro" w:cs="Calibri"/>
            <w:lang w:val="en-US"/>
          </w:rPr>
          <w:t>ottavia.aleo@tum.de</w:t>
        </w:r>
      </w:hyperlink>
      <w:r w:rsidR="00D50992" w:rsidRPr="00131BBB">
        <w:rPr>
          <w:lang w:val="en-US"/>
        </w:rPr>
        <w:br/>
      </w:r>
    </w:p>
    <w:sectPr w:rsidR="00275ACE" w:rsidRPr="00131BBB" w:rsidSect="00F90645">
      <w:headerReference w:type="default" r:id="rId33"/>
      <w:footerReference w:type="default" r:id="rId34"/>
      <w:pgSz w:w="11906" w:h="16838"/>
      <w:pgMar w:top="1701" w:right="1418" w:bottom="1134" w:left="1418"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5796E" w14:textId="77777777" w:rsidR="00AB6226" w:rsidRDefault="00AB6226" w:rsidP="007F01E1">
      <w:r>
        <w:separator/>
      </w:r>
    </w:p>
    <w:p w14:paraId="73E02269" w14:textId="77777777" w:rsidR="00AB6226" w:rsidRDefault="00AB6226" w:rsidP="007F01E1"/>
  </w:endnote>
  <w:endnote w:type="continuationSeparator" w:id="0">
    <w:p w14:paraId="09DAADD8" w14:textId="77777777" w:rsidR="00AB6226" w:rsidRDefault="00AB6226" w:rsidP="007F01E1">
      <w:r>
        <w:continuationSeparator/>
      </w:r>
    </w:p>
    <w:p w14:paraId="254BDC43" w14:textId="77777777" w:rsidR="00AB6226" w:rsidRDefault="00AB6226" w:rsidP="007F0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Verdana Pro">
    <w:panose1 w:val="020B0604030504040204"/>
    <w:charset w:val="00"/>
    <w:family w:val="swiss"/>
    <w:pitch w:val="variable"/>
    <w:sig w:usb0="80000287" w:usb1="00000043" w:usb2="00000000" w:usb3="00000000" w:csb0="0000009F" w:csb1="00000000"/>
  </w:font>
  <w:font w:name="Verdana Pro Light">
    <w:panose1 w:val="020B0304030504040204"/>
    <w:charset w:val="00"/>
    <w:family w:val="swiss"/>
    <w:pitch w:val="variable"/>
    <w:sig w:usb0="80000287" w:usb1="00000043"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51A6E" w14:textId="77777777" w:rsidR="00DC3EF8" w:rsidRDefault="00DC3EF8" w:rsidP="002F445A">
    <w:pPr>
      <w:pStyle w:val="Footer"/>
    </w:pPr>
  </w:p>
  <w:p w14:paraId="7582988F" w14:textId="092A3AF9" w:rsidR="00C83A47" w:rsidRDefault="00C83A47" w:rsidP="00F90645">
    <w:pPr>
      <w:pStyle w:val="Footer"/>
      <w:jc w:val="center"/>
    </w:pPr>
    <w:r>
      <w:fldChar w:fldCharType="begin"/>
    </w:r>
    <w:r>
      <w:instrText>PAGE   \* MERGEFORMAT</w:instrText>
    </w:r>
    <w:r>
      <w:fldChar w:fldCharType="separate"/>
    </w:r>
    <w:r>
      <w:t>2</w:t>
    </w:r>
    <w:r>
      <w:fldChar w:fldCharType="end"/>
    </w:r>
  </w:p>
  <w:p w14:paraId="61CD0275" w14:textId="77777777" w:rsidR="00275ACE" w:rsidRDefault="00275ACE" w:rsidP="002F445A">
    <w:pPr>
      <w:pStyle w:val="Footer"/>
    </w:pPr>
  </w:p>
  <w:p w14:paraId="6CEC0588" w14:textId="77777777" w:rsidR="001F5376" w:rsidRDefault="001F5376" w:rsidP="007F01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3EC6A" w14:textId="77777777" w:rsidR="00AB6226" w:rsidRDefault="00AB6226" w:rsidP="007F01E1">
      <w:r>
        <w:separator/>
      </w:r>
    </w:p>
    <w:p w14:paraId="27815DE6" w14:textId="77777777" w:rsidR="00AB6226" w:rsidRDefault="00AB6226" w:rsidP="007F01E1"/>
  </w:footnote>
  <w:footnote w:type="continuationSeparator" w:id="0">
    <w:p w14:paraId="68A4BC59" w14:textId="77777777" w:rsidR="00AB6226" w:rsidRDefault="00AB6226" w:rsidP="007F01E1">
      <w:r>
        <w:continuationSeparator/>
      </w:r>
    </w:p>
    <w:p w14:paraId="12DA85C4" w14:textId="77777777" w:rsidR="00AB6226" w:rsidRDefault="00AB6226" w:rsidP="007F01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4C92D" w14:textId="409F3EFB" w:rsidR="00300622" w:rsidRDefault="00AF45D4" w:rsidP="007F01E1">
    <w:pPr>
      <w:pStyle w:val="Header"/>
    </w:pPr>
    <w:r>
      <w:rPr>
        <w:noProof/>
      </w:rPr>
      <w:drawing>
        <wp:anchor distT="0" distB="0" distL="114300" distR="114300" simplePos="0" relativeHeight="251657728" behindDoc="1" locked="0" layoutInCell="1" allowOverlap="1" wp14:anchorId="3CB5D56D" wp14:editId="1C63ED9C">
          <wp:simplePos x="0" y="0"/>
          <wp:positionH relativeFrom="column">
            <wp:posOffset>-594360</wp:posOffset>
          </wp:positionH>
          <wp:positionV relativeFrom="paragraph">
            <wp:posOffset>-265430</wp:posOffset>
          </wp:positionV>
          <wp:extent cx="982345" cy="716915"/>
          <wp:effectExtent l="0" t="0" r="0" b="0"/>
          <wp:wrapThrough wrapText="bothSides">
            <wp:wrapPolygon edited="0">
              <wp:start x="0" y="0"/>
              <wp:lineTo x="0" y="21236"/>
              <wp:lineTo x="21363" y="21236"/>
              <wp:lineTo x="21363" y="0"/>
              <wp:lineTo x="0" y="0"/>
            </wp:wrapPolygon>
          </wp:wrapThrough>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345" cy="716915"/>
                  </a:xfrm>
                  <a:prstGeom prst="rect">
                    <a:avLst/>
                  </a:prstGeom>
                  <a:noFill/>
                </pic:spPr>
              </pic:pic>
            </a:graphicData>
          </a:graphic>
          <wp14:sizeRelH relativeFrom="page">
            <wp14:pctWidth>0</wp14:pctWidth>
          </wp14:sizeRelH>
          <wp14:sizeRelV relativeFrom="page">
            <wp14:pctHeight>0</wp14:pctHeight>
          </wp14:sizeRelV>
        </wp:anchor>
      </w:drawing>
    </w:r>
  </w:p>
  <w:p w14:paraId="790171F7" w14:textId="77777777" w:rsidR="001F5376" w:rsidRDefault="001F5376" w:rsidP="007F01E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F22D6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26C512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7AE95E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F4C9EC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14A7D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1C5A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3A57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92CA1C"/>
    <w:lvl w:ilvl="0">
      <w:start w:val="1"/>
      <w:numFmt w:val="bullet"/>
      <w:lvlText w:val=""/>
      <w:lvlJc w:val="left"/>
      <w:pPr>
        <w:tabs>
          <w:tab w:val="num" w:pos="643"/>
        </w:tabs>
        <w:ind w:left="643" w:hanging="360"/>
      </w:pPr>
      <w:rPr>
        <w:rFonts w:ascii="Wingdings" w:hAnsi="Wingdings" w:hint="default"/>
      </w:rPr>
    </w:lvl>
  </w:abstractNum>
  <w:abstractNum w:abstractNumId="8" w15:restartNumberingAfterBreak="0">
    <w:nsid w:val="FFFFFF88"/>
    <w:multiLevelType w:val="singleLevel"/>
    <w:tmpl w:val="A508A9D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69697BE"/>
    <w:lvl w:ilvl="0">
      <w:start w:val="1"/>
      <w:numFmt w:val="bullet"/>
      <w:lvlText w:val=""/>
      <w:lvlJc w:val="left"/>
      <w:pPr>
        <w:tabs>
          <w:tab w:val="num" w:pos="1211"/>
        </w:tabs>
        <w:ind w:left="1211" w:hanging="360"/>
      </w:pPr>
      <w:rPr>
        <w:rFonts w:ascii="Wingdings" w:hAnsi="Wingdings" w:hint="default"/>
      </w:rPr>
    </w:lvl>
  </w:abstractNum>
  <w:abstractNum w:abstractNumId="10" w15:restartNumberingAfterBreak="0">
    <w:nsid w:val="01DF64ED"/>
    <w:multiLevelType w:val="hybridMultilevel"/>
    <w:tmpl w:val="68AA9F20"/>
    <w:lvl w:ilvl="0" w:tplc="FFFFFFFF">
      <w:start w:val="1"/>
      <w:numFmt w:val="bullet"/>
      <w:lvlText w:val=""/>
      <w:lvlJc w:val="left"/>
      <w:pPr>
        <w:ind w:left="720" w:hanging="360"/>
      </w:pPr>
      <w:rPr>
        <w:rFonts w:ascii="Symbol" w:hAnsi="Symbol" w:hint="default"/>
        <w:color w:val="0E9A4A" w:themeColor="text2"/>
      </w:rPr>
    </w:lvl>
    <w:lvl w:ilvl="1" w:tplc="FFFFFFFF">
      <w:start w:val="1"/>
      <w:numFmt w:val="bullet"/>
      <w:lvlText w:val="o"/>
      <w:lvlJc w:val="left"/>
      <w:pPr>
        <w:ind w:left="1440" w:hanging="360"/>
      </w:pPr>
      <w:rPr>
        <w:rFonts w:ascii="Courier New" w:hAnsi="Courier New" w:hint="default"/>
        <w:color w:val="0E9A4A" w:themeColor="text2"/>
      </w:rPr>
    </w:lvl>
    <w:lvl w:ilvl="2" w:tplc="9F2A988C">
      <w:start w:val="1"/>
      <w:numFmt w:val="bullet"/>
      <w:lvlText w:val=""/>
      <w:lvlJc w:val="left"/>
      <w:pPr>
        <w:ind w:left="2160" w:hanging="360"/>
      </w:pPr>
      <w:rPr>
        <w:rFonts w:ascii="Symbol" w:hAnsi="Symbol" w:hint="default"/>
        <w:color w:val="EC2122" w:themeColor="accent4"/>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96F1391"/>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A8A0ED3"/>
    <w:multiLevelType w:val="multilevel"/>
    <w:tmpl w:val="F3D01A6A"/>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0B0E5640"/>
    <w:multiLevelType w:val="hybridMultilevel"/>
    <w:tmpl w:val="AD58AB9C"/>
    <w:lvl w:ilvl="0" w:tplc="FFFFFFFF">
      <w:start w:val="1"/>
      <w:numFmt w:val="bullet"/>
      <w:lvlText w:val=""/>
      <w:lvlJc w:val="left"/>
      <w:pPr>
        <w:ind w:left="720" w:hanging="360"/>
      </w:pPr>
      <w:rPr>
        <w:rFonts w:ascii="Symbol" w:hAnsi="Symbol" w:hint="default"/>
        <w:color w:val="0E9A4A" w:themeColor="text2"/>
      </w:rPr>
    </w:lvl>
    <w:lvl w:ilvl="1" w:tplc="FFFFFFFF">
      <w:start w:val="1"/>
      <w:numFmt w:val="bullet"/>
      <w:lvlText w:val="o"/>
      <w:lvlJc w:val="left"/>
      <w:pPr>
        <w:ind w:left="1440" w:hanging="360"/>
      </w:pPr>
      <w:rPr>
        <w:rFonts w:ascii="Courier New" w:hAnsi="Courier New" w:hint="default"/>
        <w:color w:val="0E9A4A" w:themeColor="text2"/>
      </w:rPr>
    </w:lvl>
    <w:lvl w:ilvl="2" w:tplc="9F2A988C">
      <w:start w:val="1"/>
      <w:numFmt w:val="bullet"/>
      <w:lvlText w:val=""/>
      <w:lvlJc w:val="left"/>
      <w:pPr>
        <w:ind w:left="2160" w:hanging="360"/>
      </w:pPr>
      <w:rPr>
        <w:rFonts w:ascii="Symbol" w:hAnsi="Symbol" w:hint="default"/>
        <w:color w:val="EC2122" w:themeColor="accent4"/>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BC07477"/>
    <w:multiLevelType w:val="multilevel"/>
    <w:tmpl w:val="6EAAE0AC"/>
    <w:lvl w:ilvl="0">
      <w:start w:val="1"/>
      <w:numFmt w:val="decimal"/>
      <w:lvlText w:val="%1."/>
      <w:lvlJc w:val="left"/>
      <w:pPr>
        <w:tabs>
          <w:tab w:val="num" w:pos="624"/>
        </w:tabs>
        <w:ind w:left="624" w:hanging="303"/>
      </w:pPr>
      <w:rPr>
        <w:rFonts w:cs="Times New Roman" w:hint="default"/>
      </w:rPr>
    </w:lvl>
    <w:lvl w:ilvl="1">
      <w:start w:val="1"/>
      <w:numFmt w:val="decimal"/>
      <w:suff w:val="space"/>
      <w:lvlText w:val="%1.%2."/>
      <w:lvlJc w:val="left"/>
      <w:pPr>
        <w:ind w:left="1134" w:hanging="510"/>
      </w:pPr>
      <w:rPr>
        <w:rFonts w:cs="Times New Roman" w:hint="default"/>
      </w:rPr>
    </w:lvl>
    <w:lvl w:ilvl="2">
      <w:start w:val="1"/>
      <w:numFmt w:val="decimal"/>
      <w:suff w:val="space"/>
      <w:lvlText w:val="%1.%2.%3."/>
      <w:lvlJc w:val="left"/>
      <w:pPr>
        <w:ind w:left="1701" w:hanging="717"/>
      </w:pPr>
      <w:rPr>
        <w:rFonts w:cs="Times New Roman" w:hint="default"/>
      </w:rPr>
    </w:lvl>
    <w:lvl w:ilvl="3">
      <w:start w:val="1"/>
      <w:numFmt w:val="decimal"/>
      <w:lvlText w:val="%1.%2.%3.%4."/>
      <w:lvlJc w:val="left"/>
      <w:pPr>
        <w:tabs>
          <w:tab w:val="num" w:pos="2424"/>
        </w:tabs>
        <w:ind w:left="1992" w:hanging="648"/>
      </w:pPr>
      <w:rPr>
        <w:rFonts w:cs="Times New Roman" w:hint="default"/>
      </w:rPr>
    </w:lvl>
    <w:lvl w:ilvl="4">
      <w:start w:val="1"/>
      <w:numFmt w:val="decimal"/>
      <w:lvlText w:val="%1.%2.%3.%4.%5."/>
      <w:lvlJc w:val="left"/>
      <w:pPr>
        <w:tabs>
          <w:tab w:val="num" w:pos="2784"/>
        </w:tabs>
        <w:ind w:left="2496" w:hanging="792"/>
      </w:pPr>
      <w:rPr>
        <w:rFonts w:cs="Times New Roman" w:hint="default"/>
      </w:rPr>
    </w:lvl>
    <w:lvl w:ilvl="5">
      <w:start w:val="1"/>
      <w:numFmt w:val="decimal"/>
      <w:lvlText w:val="%1.%2.%3.%4.%5.%6."/>
      <w:lvlJc w:val="left"/>
      <w:pPr>
        <w:tabs>
          <w:tab w:val="num" w:pos="3504"/>
        </w:tabs>
        <w:ind w:left="3000" w:hanging="936"/>
      </w:pPr>
      <w:rPr>
        <w:rFonts w:cs="Times New Roman" w:hint="default"/>
      </w:rPr>
    </w:lvl>
    <w:lvl w:ilvl="6">
      <w:start w:val="1"/>
      <w:numFmt w:val="decimal"/>
      <w:lvlText w:val="%1.%2.%3.%4.%5.%6.%7."/>
      <w:lvlJc w:val="left"/>
      <w:pPr>
        <w:tabs>
          <w:tab w:val="num" w:pos="3864"/>
        </w:tabs>
        <w:ind w:left="3504" w:hanging="1080"/>
      </w:pPr>
      <w:rPr>
        <w:rFonts w:cs="Times New Roman" w:hint="default"/>
      </w:rPr>
    </w:lvl>
    <w:lvl w:ilvl="7">
      <w:start w:val="1"/>
      <w:numFmt w:val="decimal"/>
      <w:lvlText w:val="%1.%2.%3.%4.%5.%6.%7.%8."/>
      <w:lvlJc w:val="left"/>
      <w:pPr>
        <w:tabs>
          <w:tab w:val="num" w:pos="4584"/>
        </w:tabs>
        <w:ind w:left="4008" w:hanging="1224"/>
      </w:pPr>
      <w:rPr>
        <w:rFonts w:cs="Times New Roman" w:hint="default"/>
      </w:rPr>
    </w:lvl>
    <w:lvl w:ilvl="8">
      <w:start w:val="1"/>
      <w:numFmt w:val="decimal"/>
      <w:lvlText w:val="%1.%2.%3.%4.%5.%6.%7.%8.%9."/>
      <w:lvlJc w:val="left"/>
      <w:pPr>
        <w:tabs>
          <w:tab w:val="num" w:pos="5304"/>
        </w:tabs>
        <w:ind w:left="4584" w:hanging="1440"/>
      </w:pPr>
      <w:rPr>
        <w:rFonts w:cs="Times New Roman" w:hint="default"/>
      </w:rPr>
    </w:lvl>
  </w:abstractNum>
  <w:abstractNum w:abstractNumId="15" w15:restartNumberingAfterBreak="0">
    <w:nsid w:val="0F5C61AE"/>
    <w:multiLevelType w:val="multilevel"/>
    <w:tmpl w:val="B4269A8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6" w15:restartNumberingAfterBreak="0">
    <w:nsid w:val="0F835932"/>
    <w:multiLevelType w:val="hybridMultilevel"/>
    <w:tmpl w:val="1070F260"/>
    <w:lvl w:ilvl="0" w:tplc="FFFFFFFF">
      <w:start w:val="1"/>
      <w:numFmt w:val="bullet"/>
      <w:lvlText w:val=""/>
      <w:lvlJc w:val="left"/>
      <w:pPr>
        <w:ind w:left="720" w:hanging="360"/>
      </w:pPr>
      <w:rPr>
        <w:rFonts w:ascii="Symbol" w:hAnsi="Symbol" w:hint="default"/>
        <w:color w:val="0E9A4A" w:themeColor="text2"/>
      </w:rPr>
    </w:lvl>
    <w:lvl w:ilvl="1" w:tplc="FFFFFFFF">
      <w:start w:val="1"/>
      <w:numFmt w:val="bullet"/>
      <w:lvlText w:val="o"/>
      <w:lvlJc w:val="left"/>
      <w:pPr>
        <w:ind w:left="1440" w:hanging="360"/>
      </w:pPr>
      <w:rPr>
        <w:rFonts w:ascii="Courier New" w:hAnsi="Courier New" w:hint="default"/>
        <w:color w:val="0E9A4A" w:themeColor="text2"/>
      </w:rPr>
    </w:lvl>
    <w:lvl w:ilvl="2" w:tplc="FFFFFFFF">
      <w:start w:val="1"/>
      <w:numFmt w:val="bullet"/>
      <w:lvlText w:val=""/>
      <w:lvlJc w:val="left"/>
      <w:pPr>
        <w:ind w:left="2160" w:hanging="360"/>
      </w:pPr>
      <w:rPr>
        <w:rFonts w:ascii="Symbol" w:hAnsi="Symbol" w:hint="default"/>
      </w:rPr>
    </w:lvl>
    <w:lvl w:ilvl="3" w:tplc="760C4AA8">
      <w:start w:val="1"/>
      <w:numFmt w:val="bullet"/>
      <w:lvlText w:val="o"/>
      <w:lvlJc w:val="left"/>
      <w:pPr>
        <w:ind w:left="2880" w:hanging="360"/>
      </w:pPr>
      <w:rPr>
        <w:rFonts w:ascii="Courier New" w:hAnsi="Courier New" w:hint="default"/>
        <w:color w:val="EC2122" w:themeColor="accent4"/>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FA13B04"/>
    <w:multiLevelType w:val="multilevel"/>
    <w:tmpl w:val="9D5A32A4"/>
    <w:lvl w:ilvl="0">
      <w:start w:val="1"/>
      <w:numFmt w:val="decimal"/>
      <w:lvlText w:val="%1."/>
      <w:lvlJc w:val="left"/>
      <w:pPr>
        <w:tabs>
          <w:tab w:val="num" w:pos="624"/>
        </w:tabs>
        <w:ind w:left="624" w:hanging="303"/>
      </w:pPr>
      <w:rPr>
        <w:rFonts w:cs="Times New Roman" w:hint="default"/>
      </w:rPr>
    </w:lvl>
    <w:lvl w:ilvl="1">
      <w:start w:val="1"/>
      <w:numFmt w:val="decimal"/>
      <w:suff w:val="space"/>
      <w:lvlText w:val="%1.%2."/>
      <w:lvlJc w:val="left"/>
      <w:pPr>
        <w:ind w:left="1134" w:hanging="510"/>
      </w:pPr>
      <w:rPr>
        <w:rFonts w:cs="Times New Roman" w:hint="default"/>
      </w:rPr>
    </w:lvl>
    <w:lvl w:ilvl="2">
      <w:start w:val="1"/>
      <w:numFmt w:val="decimal"/>
      <w:lvlText w:val="%1.%2.%3."/>
      <w:lvlJc w:val="left"/>
      <w:pPr>
        <w:tabs>
          <w:tab w:val="num" w:pos="1704"/>
        </w:tabs>
        <w:ind w:left="1488" w:hanging="504"/>
      </w:pPr>
      <w:rPr>
        <w:rFonts w:cs="Times New Roman" w:hint="default"/>
      </w:rPr>
    </w:lvl>
    <w:lvl w:ilvl="3">
      <w:start w:val="1"/>
      <w:numFmt w:val="decimal"/>
      <w:lvlText w:val="%1.%2.%3.%4."/>
      <w:lvlJc w:val="left"/>
      <w:pPr>
        <w:tabs>
          <w:tab w:val="num" w:pos="2424"/>
        </w:tabs>
        <w:ind w:left="1992" w:hanging="648"/>
      </w:pPr>
      <w:rPr>
        <w:rFonts w:cs="Times New Roman" w:hint="default"/>
      </w:rPr>
    </w:lvl>
    <w:lvl w:ilvl="4">
      <w:start w:val="1"/>
      <w:numFmt w:val="decimal"/>
      <w:lvlText w:val="%1.%2.%3.%4.%5."/>
      <w:lvlJc w:val="left"/>
      <w:pPr>
        <w:tabs>
          <w:tab w:val="num" w:pos="2784"/>
        </w:tabs>
        <w:ind w:left="2496" w:hanging="792"/>
      </w:pPr>
      <w:rPr>
        <w:rFonts w:cs="Times New Roman" w:hint="default"/>
      </w:rPr>
    </w:lvl>
    <w:lvl w:ilvl="5">
      <w:start w:val="1"/>
      <w:numFmt w:val="decimal"/>
      <w:lvlText w:val="%1.%2.%3.%4.%5.%6."/>
      <w:lvlJc w:val="left"/>
      <w:pPr>
        <w:tabs>
          <w:tab w:val="num" w:pos="3504"/>
        </w:tabs>
        <w:ind w:left="3000" w:hanging="936"/>
      </w:pPr>
      <w:rPr>
        <w:rFonts w:cs="Times New Roman" w:hint="default"/>
      </w:rPr>
    </w:lvl>
    <w:lvl w:ilvl="6">
      <w:start w:val="1"/>
      <w:numFmt w:val="decimal"/>
      <w:lvlText w:val="%1.%2.%3.%4.%5.%6.%7."/>
      <w:lvlJc w:val="left"/>
      <w:pPr>
        <w:tabs>
          <w:tab w:val="num" w:pos="3864"/>
        </w:tabs>
        <w:ind w:left="3504" w:hanging="1080"/>
      </w:pPr>
      <w:rPr>
        <w:rFonts w:cs="Times New Roman" w:hint="default"/>
      </w:rPr>
    </w:lvl>
    <w:lvl w:ilvl="7">
      <w:start w:val="1"/>
      <w:numFmt w:val="decimal"/>
      <w:lvlText w:val="%1.%2.%3.%4.%5.%6.%7.%8."/>
      <w:lvlJc w:val="left"/>
      <w:pPr>
        <w:tabs>
          <w:tab w:val="num" w:pos="4584"/>
        </w:tabs>
        <w:ind w:left="4008" w:hanging="1224"/>
      </w:pPr>
      <w:rPr>
        <w:rFonts w:cs="Times New Roman" w:hint="default"/>
      </w:rPr>
    </w:lvl>
    <w:lvl w:ilvl="8">
      <w:start w:val="1"/>
      <w:numFmt w:val="decimal"/>
      <w:lvlText w:val="%1.%2.%3.%4.%5.%6.%7.%8.%9."/>
      <w:lvlJc w:val="left"/>
      <w:pPr>
        <w:tabs>
          <w:tab w:val="num" w:pos="5304"/>
        </w:tabs>
        <w:ind w:left="4584" w:hanging="1440"/>
      </w:pPr>
      <w:rPr>
        <w:rFonts w:cs="Times New Roman" w:hint="default"/>
      </w:rPr>
    </w:lvl>
  </w:abstractNum>
  <w:abstractNum w:abstractNumId="18" w15:restartNumberingAfterBreak="0">
    <w:nsid w:val="15A639F6"/>
    <w:multiLevelType w:val="multilevel"/>
    <w:tmpl w:val="6F0E0C9C"/>
    <w:lvl w:ilvl="0">
      <w:start w:val="1"/>
      <w:numFmt w:val="decimal"/>
      <w:lvlText w:val="%1"/>
      <w:lvlJc w:val="left"/>
      <w:pPr>
        <w:tabs>
          <w:tab w:val="num" w:pos="432"/>
        </w:tabs>
        <w:ind w:left="432" w:hanging="432"/>
      </w:pPr>
      <w:rPr>
        <w:rFonts w:cs="Times New Roman" w:hint="default"/>
      </w:rPr>
    </w:lvl>
    <w:lvl w:ilvl="1">
      <w:start w:val="1"/>
      <w:numFmt w:val="none"/>
      <w:lvlText w:val="1.1."/>
      <w:lvlJc w:val="left"/>
      <w:pPr>
        <w:tabs>
          <w:tab w:val="num" w:pos="576"/>
        </w:tabs>
        <w:ind w:left="1191" w:hanging="1191"/>
      </w:pPr>
      <w:rPr>
        <w:rFonts w:cs="Times New Roman" w:hint="default"/>
      </w:rPr>
    </w:lvl>
    <w:lvl w:ilvl="2">
      <w:start w:val="1"/>
      <w:numFmt w:val="decimal"/>
      <w:lvlText w:val="%1.%2.1.2."/>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1A7C35F2"/>
    <w:multiLevelType w:val="multilevel"/>
    <w:tmpl w:val="729EB1E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0" w15:restartNumberingAfterBreak="0">
    <w:nsid w:val="1B4F5440"/>
    <w:multiLevelType w:val="hybridMultilevel"/>
    <w:tmpl w:val="F37C7398"/>
    <w:lvl w:ilvl="0" w:tplc="FFFFFFFF">
      <w:start w:val="1"/>
      <w:numFmt w:val="bullet"/>
      <w:lvlText w:val=""/>
      <w:lvlJc w:val="left"/>
      <w:pPr>
        <w:ind w:left="720" w:hanging="360"/>
      </w:pPr>
      <w:rPr>
        <w:rFonts w:ascii="Symbol" w:hAnsi="Symbol" w:hint="default"/>
        <w:color w:val="0E9A4A" w:themeColor="text2"/>
      </w:rPr>
    </w:lvl>
    <w:lvl w:ilvl="1" w:tplc="FFFFFFFF">
      <w:start w:val="1"/>
      <w:numFmt w:val="bullet"/>
      <w:lvlText w:val="o"/>
      <w:lvlJc w:val="left"/>
      <w:pPr>
        <w:ind w:left="1440" w:hanging="360"/>
      </w:pPr>
      <w:rPr>
        <w:rFonts w:ascii="Courier New" w:hAnsi="Courier New" w:hint="default"/>
        <w:color w:val="0E9A4A" w:themeColor="text2"/>
      </w:rPr>
    </w:lvl>
    <w:lvl w:ilvl="2" w:tplc="760C4AA8">
      <w:start w:val="1"/>
      <w:numFmt w:val="bullet"/>
      <w:lvlText w:val="o"/>
      <w:lvlJc w:val="left"/>
      <w:pPr>
        <w:ind w:left="2160" w:hanging="360"/>
      </w:pPr>
      <w:rPr>
        <w:rFonts w:ascii="Courier New" w:hAnsi="Courier New" w:hint="default"/>
        <w:color w:val="EC2122" w:themeColor="accent4"/>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F9D132D"/>
    <w:multiLevelType w:val="multilevel"/>
    <w:tmpl w:val="346C832A"/>
    <w:lvl w:ilvl="0">
      <w:start w:val="1"/>
      <w:numFmt w:val="decimal"/>
      <w:lvlText w:val="%1."/>
      <w:lvlJc w:val="left"/>
      <w:pPr>
        <w:tabs>
          <w:tab w:val="num" w:pos="624"/>
        </w:tabs>
        <w:ind w:left="624" w:hanging="303"/>
      </w:pPr>
      <w:rPr>
        <w:rFonts w:cs="Times New Roman" w:hint="default"/>
      </w:rPr>
    </w:lvl>
    <w:lvl w:ilvl="1">
      <w:start w:val="1"/>
      <w:numFmt w:val="decimal"/>
      <w:suff w:val="space"/>
      <w:lvlText w:val="%1.%2."/>
      <w:lvlJc w:val="left"/>
      <w:pPr>
        <w:ind w:left="851" w:hanging="227"/>
      </w:pPr>
      <w:rPr>
        <w:rFonts w:cs="Times New Roman" w:hint="default"/>
      </w:rPr>
    </w:lvl>
    <w:lvl w:ilvl="2">
      <w:start w:val="1"/>
      <w:numFmt w:val="decimal"/>
      <w:lvlText w:val="%1.%2.%3."/>
      <w:lvlJc w:val="left"/>
      <w:pPr>
        <w:tabs>
          <w:tab w:val="num" w:pos="1704"/>
        </w:tabs>
        <w:ind w:left="1488" w:hanging="504"/>
      </w:pPr>
      <w:rPr>
        <w:rFonts w:cs="Times New Roman" w:hint="default"/>
      </w:rPr>
    </w:lvl>
    <w:lvl w:ilvl="3">
      <w:start w:val="1"/>
      <w:numFmt w:val="decimal"/>
      <w:lvlText w:val="%1.%2.%3.%4."/>
      <w:lvlJc w:val="left"/>
      <w:pPr>
        <w:tabs>
          <w:tab w:val="num" w:pos="2424"/>
        </w:tabs>
        <w:ind w:left="1992" w:hanging="648"/>
      </w:pPr>
      <w:rPr>
        <w:rFonts w:cs="Times New Roman" w:hint="default"/>
      </w:rPr>
    </w:lvl>
    <w:lvl w:ilvl="4">
      <w:start w:val="1"/>
      <w:numFmt w:val="decimal"/>
      <w:lvlText w:val="%1.%2.%3.%4.%5."/>
      <w:lvlJc w:val="left"/>
      <w:pPr>
        <w:tabs>
          <w:tab w:val="num" w:pos="2784"/>
        </w:tabs>
        <w:ind w:left="2496" w:hanging="792"/>
      </w:pPr>
      <w:rPr>
        <w:rFonts w:cs="Times New Roman" w:hint="default"/>
      </w:rPr>
    </w:lvl>
    <w:lvl w:ilvl="5">
      <w:start w:val="1"/>
      <w:numFmt w:val="decimal"/>
      <w:lvlText w:val="%1.%2.%3.%4.%5.%6."/>
      <w:lvlJc w:val="left"/>
      <w:pPr>
        <w:tabs>
          <w:tab w:val="num" w:pos="3504"/>
        </w:tabs>
        <w:ind w:left="3000" w:hanging="936"/>
      </w:pPr>
      <w:rPr>
        <w:rFonts w:cs="Times New Roman" w:hint="default"/>
      </w:rPr>
    </w:lvl>
    <w:lvl w:ilvl="6">
      <w:start w:val="1"/>
      <w:numFmt w:val="decimal"/>
      <w:lvlText w:val="%1.%2.%3.%4.%5.%6.%7."/>
      <w:lvlJc w:val="left"/>
      <w:pPr>
        <w:tabs>
          <w:tab w:val="num" w:pos="3864"/>
        </w:tabs>
        <w:ind w:left="3504" w:hanging="1080"/>
      </w:pPr>
      <w:rPr>
        <w:rFonts w:cs="Times New Roman" w:hint="default"/>
      </w:rPr>
    </w:lvl>
    <w:lvl w:ilvl="7">
      <w:start w:val="1"/>
      <w:numFmt w:val="decimal"/>
      <w:lvlText w:val="%1.%2.%3.%4.%5.%6.%7.%8."/>
      <w:lvlJc w:val="left"/>
      <w:pPr>
        <w:tabs>
          <w:tab w:val="num" w:pos="4584"/>
        </w:tabs>
        <w:ind w:left="4008" w:hanging="1224"/>
      </w:pPr>
      <w:rPr>
        <w:rFonts w:cs="Times New Roman" w:hint="default"/>
      </w:rPr>
    </w:lvl>
    <w:lvl w:ilvl="8">
      <w:start w:val="1"/>
      <w:numFmt w:val="decimal"/>
      <w:lvlText w:val="%1.%2.%3.%4.%5.%6.%7.%8.%9."/>
      <w:lvlJc w:val="left"/>
      <w:pPr>
        <w:tabs>
          <w:tab w:val="num" w:pos="5304"/>
        </w:tabs>
        <w:ind w:left="4584" w:hanging="1440"/>
      </w:pPr>
      <w:rPr>
        <w:rFonts w:cs="Times New Roman" w:hint="default"/>
      </w:rPr>
    </w:lvl>
  </w:abstractNum>
  <w:abstractNum w:abstractNumId="22" w15:restartNumberingAfterBreak="0">
    <w:nsid w:val="22D921A4"/>
    <w:multiLevelType w:val="multilevel"/>
    <w:tmpl w:val="B3728ACC"/>
    <w:lvl w:ilvl="0">
      <w:start w:val="1"/>
      <w:numFmt w:val="bullet"/>
      <w:lvlText w:val=""/>
      <w:lvlJc w:val="left"/>
      <w:pPr>
        <w:tabs>
          <w:tab w:val="num" w:pos="1582"/>
        </w:tabs>
        <w:ind w:left="1582" w:hanging="360"/>
      </w:pPr>
      <w:rPr>
        <w:rFonts w:ascii="Symbol" w:hAnsi="Symbol" w:hint="default"/>
      </w:rPr>
    </w:lvl>
    <w:lvl w:ilvl="1">
      <w:start w:val="1"/>
      <w:numFmt w:val="none"/>
      <w:lvlText w:val="1.1."/>
      <w:lvlJc w:val="left"/>
      <w:pPr>
        <w:tabs>
          <w:tab w:val="num" w:pos="576"/>
        </w:tabs>
        <w:ind w:left="1191" w:hanging="1191"/>
      </w:pPr>
      <w:rPr>
        <w:rFonts w:cs="Times New Roman" w:hint="default"/>
        <w:b/>
        <w:bCs/>
        <w:sz w:val="24"/>
        <w:szCs w:val="24"/>
      </w:rPr>
    </w:lvl>
    <w:lvl w:ilvl="2">
      <w:start w:val="1"/>
      <w:numFmt w:val="decimal"/>
      <w:lvlText w:val="%1.%2.1.2."/>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b/>
        <w:bCs/>
        <w:sz w:val="24"/>
        <w:szCs w:val="24"/>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260F58B2"/>
    <w:multiLevelType w:val="multilevel"/>
    <w:tmpl w:val="E77C42EC"/>
    <w:lvl w:ilvl="0">
      <w:start w:val="1"/>
      <w:numFmt w:val="decimal"/>
      <w:lvlText w:val="%1."/>
      <w:lvlJc w:val="left"/>
      <w:pPr>
        <w:tabs>
          <w:tab w:val="num" w:pos="624"/>
        </w:tabs>
        <w:ind w:left="624" w:hanging="303"/>
      </w:pPr>
      <w:rPr>
        <w:rFonts w:cs="Times New Roman" w:hint="default"/>
      </w:rPr>
    </w:lvl>
    <w:lvl w:ilvl="1">
      <w:start w:val="1"/>
      <w:numFmt w:val="decimal"/>
      <w:lvlText w:val="%1.%2."/>
      <w:lvlJc w:val="left"/>
      <w:pPr>
        <w:tabs>
          <w:tab w:val="num" w:pos="624"/>
        </w:tabs>
        <w:ind w:left="624"/>
      </w:pPr>
      <w:rPr>
        <w:rFonts w:cs="Times New Roman" w:hint="default"/>
      </w:rPr>
    </w:lvl>
    <w:lvl w:ilvl="2">
      <w:start w:val="1"/>
      <w:numFmt w:val="decimal"/>
      <w:lvlText w:val="%1.%2.%3."/>
      <w:lvlJc w:val="left"/>
      <w:pPr>
        <w:tabs>
          <w:tab w:val="num" w:pos="1704"/>
        </w:tabs>
        <w:ind w:left="1488" w:hanging="504"/>
      </w:pPr>
      <w:rPr>
        <w:rFonts w:cs="Times New Roman" w:hint="default"/>
      </w:rPr>
    </w:lvl>
    <w:lvl w:ilvl="3">
      <w:start w:val="1"/>
      <w:numFmt w:val="decimal"/>
      <w:lvlText w:val="%1.%2.%3.%4."/>
      <w:lvlJc w:val="left"/>
      <w:pPr>
        <w:tabs>
          <w:tab w:val="num" w:pos="2424"/>
        </w:tabs>
        <w:ind w:left="1992" w:hanging="648"/>
      </w:pPr>
      <w:rPr>
        <w:rFonts w:cs="Times New Roman" w:hint="default"/>
      </w:rPr>
    </w:lvl>
    <w:lvl w:ilvl="4">
      <w:start w:val="1"/>
      <w:numFmt w:val="decimal"/>
      <w:lvlText w:val="%1.%2.%3.%4.%5."/>
      <w:lvlJc w:val="left"/>
      <w:pPr>
        <w:tabs>
          <w:tab w:val="num" w:pos="2784"/>
        </w:tabs>
        <w:ind w:left="2496" w:hanging="792"/>
      </w:pPr>
      <w:rPr>
        <w:rFonts w:cs="Times New Roman" w:hint="default"/>
      </w:rPr>
    </w:lvl>
    <w:lvl w:ilvl="5">
      <w:start w:val="1"/>
      <w:numFmt w:val="decimal"/>
      <w:lvlText w:val="%1.%2.%3.%4.%5.%6."/>
      <w:lvlJc w:val="left"/>
      <w:pPr>
        <w:tabs>
          <w:tab w:val="num" w:pos="3504"/>
        </w:tabs>
        <w:ind w:left="3000" w:hanging="936"/>
      </w:pPr>
      <w:rPr>
        <w:rFonts w:cs="Times New Roman" w:hint="default"/>
      </w:rPr>
    </w:lvl>
    <w:lvl w:ilvl="6">
      <w:start w:val="1"/>
      <w:numFmt w:val="decimal"/>
      <w:lvlText w:val="%1.%2.%3.%4.%5.%6.%7."/>
      <w:lvlJc w:val="left"/>
      <w:pPr>
        <w:tabs>
          <w:tab w:val="num" w:pos="3864"/>
        </w:tabs>
        <w:ind w:left="3504" w:hanging="1080"/>
      </w:pPr>
      <w:rPr>
        <w:rFonts w:cs="Times New Roman" w:hint="default"/>
      </w:rPr>
    </w:lvl>
    <w:lvl w:ilvl="7">
      <w:start w:val="1"/>
      <w:numFmt w:val="decimal"/>
      <w:lvlText w:val="%1.%2.%3.%4.%5.%6.%7.%8."/>
      <w:lvlJc w:val="left"/>
      <w:pPr>
        <w:tabs>
          <w:tab w:val="num" w:pos="4584"/>
        </w:tabs>
        <w:ind w:left="4008" w:hanging="1224"/>
      </w:pPr>
      <w:rPr>
        <w:rFonts w:cs="Times New Roman" w:hint="default"/>
      </w:rPr>
    </w:lvl>
    <w:lvl w:ilvl="8">
      <w:start w:val="1"/>
      <w:numFmt w:val="decimal"/>
      <w:lvlText w:val="%1.%2.%3.%4.%5.%6.%7.%8.%9."/>
      <w:lvlJc w:val="left"/>
      <w:pPr>
        <w:tabs>
          <w:tab w:val="num" w:pos="5304"/>
        </w:tabs>
        <w:ind w:left="4584" w:hanging="1440"/>
      </w:pPr>
      <w:rPr>
        <w:rFonts w:cs="Times New Roman" w:hint="default"/>
      </w:rPr>
    </w:lvl>
  </w:abstractNum>
  <w:abstractNum w:abstractNumId="24" w15:restartNumberingAfterBreak="0">
    <w:nsid w:val="266D4C86"/>
    <w:multiLevelType w:val="multilevel"/>
    <w:tmpl w:val="29249D1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285D3B8B"/>
    <w:multiLevelType w:val="multilevel"/>
    <w:tmpl w:val="3446E5FA"/>
    <w:lvl w:ilvl="0">
      <w:start w:val="5"/>
      <w:numFmt w:val="decimal"/>
      <w:lvlText w:val="%1"/>
      <w:lvlJc w:val="left"/>
      <w:pPr>
        <w:tabs>
          <w:tab w:val="num" w:pos="432"/>
        </w:tabs>
        <w:ind w:left="432" w:hanging="432"/>
      </w:pPr>
      <w:rPr>
        <w:rFonts w:cs="Times New Roman" w:hint="default"/>
      </w:rPr>
    </w:lvl>
    <w:lvl w:ilvl="1">
      <w:start w:val="1"/>
      <w:numFmt w:val="none"/>
      <w:lvlText w:val="1.1."/>
      <w:lvlJc w:val="left"/>
      <w:pPr>
        <w:tabs>
          <w:tab w:val="num" w:pos="576"/>
        </w:tabs>
        <w:ind w:left="1191" w:hanging="1191"/>
      </w:pPr>
      <w:rPr>
        <w:rFonts w:cs="Times New Roman" w:hint="default"/>
      </w:rPr>
    </w:lvl>
    <w:lvl w:ilvl="2">
      <w:start w:val="1"/>
      <w:numFmt w:val="decimal"/>
      <w:lvlText w:val="%1.%2.1.2."/>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2869789C"/>
    <w:multiLevelType w:val="multilevel"/>
    <w:tmpl w:val="D6B69CE6"/>
    <w:lvl w:ilvl="0">
      <w:start w:val="1"/>
      <w:numFmt w:val="decimal"/>
      <w:lvlText w:val="%1."/>
      <w:lvlJc w:val="left"/>
      <w:pPr>
        <w:tabs>
          <w:tab w:val="num" w:pos="624"/>
        </w:tabs>
        <w:ind w:left="624" w:hanging="303"/>
      </w:pPr>
      <w:rPr>
        <w:rFonts w:cs="Times New Roman" w:hint="default"/>
      </w:rPr>
    </w:lvl>
    <w:lvl w:ilvl="1">
      <w:start w:val="1"/>
      <w:numFmt w:val="decimal"/>
      <w:suff w:val="space"/>
      <w:lvlText w:val="%1.%2."/>
      <w:lvlJc w:val="left"/>
      <w:pPr>
        <w:ind w:left="964" w:hanging="340"/>
      </w:pPr>
      <w:rPr>
        <w:rFonts w:cs="Times New Roman" w:hint="default"/>
      </w:rPr>
    </w:lvl>
    <w:lvl w:ilvl="2">
      <w:start w:val="1"/>
      <w:numFmt w:val="decimal"/>
      <w:lvlText w:val="%1.%2.%3."/>
      <w:lvlJc w:val="left"/>
      <w:pPr>
        <w:tabs>
          <w:tab w:val="num" w:pos="1704"/>
        </w:tabs>
        <w:ind w:left="1488" w:hanging="504"/>
      </w:pPr>
      <w:rPr>
        <w:rFonts w:cs="Times New Roman" w:hint="default"/>
      </w:rPr>
    </w:lvl>
    <w:lvl w:ilvl="3">
      <w:start w:val="1"/>
      <w:numFmt w:val="decimal"/>
      <w:lvlText w:val="%1.%2.%3.%4."/>
      <w:lvlJc w:val="left"/>
      <w:pPr>
        <w:tabs>
          <w:tab w:val="num" w:pos="2424"/>
        </w:tabs>
        <w:ind w:left="1992" w:hanging="648"/>
      </w:pPr>
      <w:rPr>
        <w:rFonts w:cs="Times New Roman" w:hint="default"/>
      </w:rPr>
    </w:lvl>
    <w:lvl w:ilvl="4">
      <w:start w:val="1"/>
      <w:numFmt w:val="decimal"/>
      <w:lvlText w:val="%1.%2.%3.%4.%5."/>
      <w:lvlJc w:val="left"/>
      <w:pPr>
        <w:tabs>
          <w:tab w:val="num" w:pos="2784"/>
        </w:tabs>
        <w:ind w:left="2496" w:hanging="792"/>
      </w:pPr>
      <w:rPr>
        <w:rFonts w:cs="Times New Roman" w:hint="default"/>
      </w:rPr>
    </w:lvl>
    <w:lvl w:ilvl="5">
      <w:start w:val="1"/>
      <w:numFmt w:val="decimal"/>
      <w:lvlText w:val="%1.%2.%3.%4.%5.%6."/>
      <w:lvlJc w:val="left"/>
      <w:pPr>
        <w:tabs>
          <w:tab w:val="num" w:pos="3504"/>
        </w:tabs>
        <w:ind w:left="3000" w:hanging="936"/>
      </w:pPr>
      <w:rPr>
        <w:rFonts w:cs="Times New Roman" w:hint="default"/>
      </w:rPr>
    </w:lvl>
    <w:lvl w:ilvl="6">
      <w:start w:val="1"/>
      <w:numFmt w:val="decimal"/>
      <w:lvlText w:val="%1.%2.%3.%4.%5.%6.%7."/>
      <w:lvlJc w:val="left"/>
      <w:pPr>
        <w:tabs>
          <w:tab w:val="num" w:pos="3864"/>
        </w:tabs>
        <w:ind w:left="3504" w:hanging="1080"/>
      </w:pPr>
      <w:rPr>
        <w:rFonts w:cs="Times New Roman" w:hint="default"/>
      </w:rPr>
    </w:lvl>
    <w:lvl w:ilvl="7">
      <w:start w:val="1"/>
      <w:numFmt w:val="decimal"/>
      <w:lvlText w:val="%1.%2.%3.%4.%5.%6.%7.%8."/>
      <w:lvlJc w:val="left"/>
      <w:pPr>
        <w:tabs>
          <w:tab w:val="num" w:pos="4584"/>
        </w:tabs>
        <w:ind w:left="4008" w:hanging="1224"/>
      </w:pPr>
      <w:rPr>
        <w:rFonts w:cs="Times New Roman" w:hint="default"/>
      </w:rPr>
    </w:lvl>
    <w:lvl w:ilvl="8">
      <w:start w:val="1"/>
      <w:numFmt w:val="decimal"/>
      <w:lvlText w:val="%1.%2.%3.%4.%5.%6.%7.%8.%9."/>
      <w:lvlJc w:val="left"/>
      <w:pPr>
        <w:tabs>
          <w:tab w:val="num" w:pos="5304"/>
        </w:tabs>
        <w:ind w:left="4584" w:hanging="1440"/>
      </w:pPr>
      <w:rPr>
        <w:rFonts w:cs="Times New Roman" w:hint="default"/>
      </w:rPr>
    </w:lvl>
  </w:abstractNum>
  <w:abstractNum w:abstractNumId="27" w15:restartNumberingAfterBreak="0">
    <w:nsid w:val="2B19243F"/>
    <w:multiLevelType w:val="multilevel"/>
    <w:tmpl w:val="E0E67596"/>
    <w:lvl w:ilvl="0">
      <w:start w:val="3"/>
      <w:numFmt w:val="decimal"/>
      <w:lvlText w:val="%1"/>
      <w:lvlJc w:val="left"/>
      <w:pPr>
        <w:tabs>
          <w:tab w:val="num" w:pos="432"/>
        </w:tabs>
        <w:ind w:left="432" w:hanging="432"/>
      </w:pPr>
      <w:rPr>
        <w:rFonts w:cs="Times New Roman" w:hint="default"/>
      </w:rPr>
    </w:lvl>
    <w:lvl w:ilvl="1">
      <w:start w:val="1"/>
      <w:numFmt w:val="none"/>
      <w:lvlText w:val="1.1."/>
      <w:lvlJc w:val="left"/>
      <w:pPr>
        <w:tabs>
          <w:tab w:val="num" w:pos="576"/>
        </w:tabs>
        <w:ind w:left="1191" w:hanging="1191"/>
      </w:pPr>
      <w:rPr>
        <w:rFonts w:cs="Times New Roman" w:hint="default"/>
      </w:rPr>
    </w:lvl>
    <w:lvl w:ilvl="2">
      <w:start w:val="1"/>
      <w:numFmt w:val="decimal"/>
      <w:lvlText w:val="%1.%2.1.2."/>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2B947CF7"/>
    <w:multiLevelType w:val="hybridMultilevel"/>
    <w:tmpl w:val="B39021AE"/>
    <w:lvl w:ilvl="0" w:tplc="7EC23C02">
      <w:start w:val="1"/>
      <w:numFmt w:val="bullet"/>
      <w:pStyle w:val="ListParagraph"/>
      <w:lvlText w:val=""/>
      <w:lvlJc w:val="left"/>
      <w:pPr>
        <w:ind w:left="720" w:hanging="360"/>
      </w:pPr>
      <w:rPr>
        <w:rFonts w:ascii="Symbol" w:hAnsi="Symbol" w:hint="default"/>
        <w:color w:val="0E9A4A" w:themeColor="text2"/>
      </w:rPr>
    </w:lvl>
    <w:lvl w:ilvl="1" w:tplc="FFFFFFFF">
      <w:start w:val="1"/>
      <w:numFmt w:val="bullet"/>
      <w:lvlText w:val="o"/>
      <w:lvlJc w:val="left"/>
      <w:pPr>
        <w:ind w:left="1440" w:hanging="360"/>
      </w:pPr>
      <w:rPr>
        <w:rFonts w:ascii="Courier New" w:hAnsi="Courier New" w:hint="default"/>
        <w:color w:val="0E9A4A" w:themeColor="text2"/>
      </w:rPr>
    </w:lvl>
    <w:lvl w:ilvl="2" w:tplc="FFFFFFFF">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D4A3A66"/>
    <w:multiLevelType w:val="hybridMultilevel"/>
    <w:tmpl w:val="378673C6"/>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D5258FB"/>
    <w:multiLevelType w:val="hybridMultilevel"/>
    <w:tmpl w:val="4C744B80"/>
    <w:lvl w:ilvl="0" w:tplc="69E88724">
      <w:start w:val="1"/>
      <w:numFmt w:val="bullet"/>
      <w:lvlText w:val=""/>
      <w:lvlJc w:val="left"/>
      <w:pPr>
        <w:tabs>
          <w:tab w:val="num" w:pos="1582"/>
        </w:tabs>
        <w:ind w:left="1582" w:hanging="360"/>
      </w:pPr>
      <w:rPr>
        <w:rFonts w:ascii="Symbol" w:hAnsi="Symbol" w:hint="default"/>
      </w:rPr>
    </w:lvl>
    <w:lvl w:ilvl="1" w:tplc="465E1012">
      <w:start w:val="1"/>
      <w:numFmt w:val="none"/>
      <w:lvlText w:val="2."/>
      <w:lvlJc w:val="left"/>
      <w:pPr>
        <w:tabs>
          <w:tab w:val="num" w:pos="2341"/>
        </w:tabs>
        <w:ind w:left="1930" w:hanging="850"/>
      </w:pPr>
      <w:rPr>
        <w:rFonts w:cs="Times New Roman" w:hint="default"/>
        <w:b/>
        <w:bCs/>
        <w:sz w:val="24"/>
        <w:szCs w:val="24"/>
      </w:rPr>
    </w:lvl>
    <w:lvl w:ilvl="2" w:tplc="4B906588">
      <w:start w:val="4"/>
      <w:numFmt w:val="decimal"/>
      <w:lvlText w:val="%3"/>
      <w:lvlJc w:val="left"/>
      <w:pPr>
        <w:tabs>
          <w:tab w:val="num" w:pos="2508"/>
        </w:tabs>
        <w:ind w:left="2508" w:hanging="708"/>
      </w:pPr>
      <w:rPr>
        <w:rFonts w:cs="Times New Roman" w:hint="default"/>
      </w:rPr>
    </w:lvl>
    <w:lvl w:ilvl="3" w:tplc="FA541198">
      <w:start w:val="6"/>
      <w:numFmt w:val="decimal"/>
      <w:lvlText w:val="%4."/>
      <w:lvlJc w:val="left"/>
      <w:pPr>
        <w:tabs>
          <w:tab w:val="num" w:pos="3600"/>
        </w:tabs>
        <w:ind w:left="3600" w:hanging="1080"/>
      </w:pPr>
      <w:rPr>
        <w:rFonts w:cs="Times New Roman"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E507B73"/>
    <w:multiLevelType w:val="hybridMultilevel"/>
    <w:tmpl w:val="755A903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color w:val="0E9A4A" w:themeColor="text2"/>
      </w:rPr>
    </w:lvl>
    <w:lvl w:ilvl="2" w:tplc="9F2A988C">
      <w:start w:val="1"/>
      <w:numFmt w:val="bullet"/>
      <w:lvlText w:val=""/>
      <w:lvlJc w:val="left"/>
      <w:pPr>
        <w:ind w:left="2160" w:hanging="360"/>
      </w:pPr>
      <w:rPr>
        <w:rFonts w:ascii="Symbol" w:hAnsi="Symbol" w:hint="default"/>
        <w:color w:val="EC2122" w:themeColor="accent4"/>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FF50A0A"/>
    <w:multiLevelType w:val="hybridMultilevel"/>
    <w:tmpl w:val="838C0B16"/>
    <w:lvl w:ilvl="0" w:tplc="04070019">
      <w:start w:val="1"/>
      <w:numFmt w:val="lowerLetter"/>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3" w15:restartNumberingAfterBreak="0">
    <w:nsid w:val="361A49EF"/>
    <w:multiLevelType w:val="multilevel"/>
    <w:tmpl w:val="2302885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3732421E"/>
    <w:multiLevelType w:val="hybridMultilevel"/>
    <w:tmpl w:val="0D1EBE0C"/>
    <w:lvl w:ilvl="0" w:tplc="0B7AB8A0">
      <w:start w:val="1"/>
      <w:numFmt w:val="bullet"/>
      <w:lvlText w:val=""/>
      <w:lvlJc w:val="left"/>
      <w:pPr>
        <w:ind w:left="720" w:hanging="360"/>
      </w:pPr>
      <w:rPr>
        <w:rFonts w:ascii="Symbol" w:hAnsi="Symbol" w:hint="default"/>
      </w:rPr>
    </w:lvl>
    <w:lvl w:ilvl="1" w:tplc="875EB412">
      <w:start w:val="1"/>
      <w:numFmt w:val="bullet"/>
      <w:lvlText w:val="o"/>
      <w:lvlJc w:val="left"/>
      <w:pPr>
        <w:ind w:left="1440" w:hanging="360"/>
      </w:pPr>
      <w:rPr>
        <w:rFonts w:ascii="Courier New" w:hAnsi="Courier New" w:hint="default"/>
      </w:rPr>
    </w:lvl>
    <w:lvl w:ilvl="2" w:tplc="0407000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40257F8F"/>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446049DB"/>
    <w:multiLevelType w:val="multilevel"/>
    <w:tmpl w:val="D354D72C"/>
    <w:lvl w:ilvl="0">
      <w:start w:val="1"/>
      <w:numFmt w:val="decimal"/>
      <w:suff w:val="space"/>
      <w:lvlText w:val="%1."/>
      <w:lvlJc w:val="left"/>
      <w:pPr>
        <w:ind w:left="624" w:hanging="284"/>
      </w:pPr>
      <w:rPr>
        <w:rFonts w:cs="Times New Roman" w:hint="default"/>
      </w:rPr>
    </w:lvl>
    <w:lvl w:ilvl="1">
      <w:start w:val="1"/>
      <w:numFmt w:val="decimal"/>
      <w:suff w:val="space"/>
      <w:lvlText w:val="%1.%2."/>
      <w:lvlJc w:val="left"/>
      <w:pPr>
        <w:ind w:left="1134" w:hanging="510"/>
      </w:pPr>
      <w:rPr>
        <w:rFonts w:cs="Times New Roman" w:hint="default"/>
      </w:rPr>
    </w:lvl>
    <w:lvl w:ilvl="2">
      <w:start w:val="1"/>
      <w:numFmt w:val="decimal"/>
      <w:suff w:val="space"/>
      <w:lvlText w:val="%1.%2.%3."/>
      <w:lvlJc w:val="left"/>
      <w:pPr>
        <w:ind w:left="1701" w:hanging="717"/>
      </w:pPr>
      <w:rPr>
        <w:rFonts w:cs="Times New Roman" w:hint="default"/>
      </w:rPr>
    </w:lvl>
    <w:lvl w:ilvl="3">
      <w:start w:val="1"/>
      <w:numFmt w:val="decimal"/>
      <w:lvlText w:val="%1.%2.%3.%4."/>
      <w:lvlJc w:val="left"/>
      <w:pPr>
        <w:tabs>
          <w:tab w:val="num" w:pos="2424"/>
        </w:tabs>
        <w:ind w:left="1992" w:hanging="648"/>
      </w:pPr>
      <w:rPr>
        <w:rFonts w:cs="Times New Roman" w:hint="default"/>
      </w:rPr>
    </w:lvl>
    <w:lvl w:ilvl="4">
      <w:start w:val="1"/>
      <w:numFmt w:val="decimal"/>
      <w:lvlText w:val="%1.%2.%3.%4.%5."/>
      <w:lvlJc w:val="left"/>
      <w:pPr>
        <w:tabs>
          <w:tab w:val="num" w:pos="2784"/>
        </w:tabs>
        <w:ind w:left="2496" w:hanging="792"/>
      </w:pPr>
      <w:rPr>
        <w:rFonts w:cs="Times New Roman" w:hint="default"/>
      </w:rPr>
    </w:lvl>
    <w:lvl w:ilvl="5">
      <w:start w:val="1"/>
      <w:numFmt w:val="decimal"/>
      <w:lvlText w:val="%1.%2.%3.%4.%5.%6."/>
      <w:lvlJc w:val="left"/>
      <w:pPr>
        <w:tabs>
          <w:tab w:val="num" w:pos="3504"/>
        </w:tabs>
        <w:ind w:left="3000" w:hanging="936"/>
      </w:pPr>
      <w:rPr>
        <w:rFonts w:cs="Times New Roman" w:hint="default"/>
      </w:rPr>
    </w:lvl>
    <w:lvl w:ilvl="6">
      <w:start w:val="1"/>
      <w:numFmt w:val="decimal"/>
      <w:lvlText w:val="%1.%2.%3.%4.%5.%6.%7."/>
      <w:lvlJc w:val="left"/>
      <w:pPr>
        <w:tabs>
          <w:tab w:val="num" w:pos="3864"/>
        </w:tabs>
        <w:ind w:left="3504" w:hanging="1080"/>
      </w:pPr>
      <w:rPr>
        <w:rFonts w:cs="Times New Roman" w:hint="default"/>
      </w:rPr>
    </w:lvl>
    <w:lvl w:ilvl="7">
      <w:start w:val="1"/>
      <w:numFmt w:val="decimal"/>
      <w:lvlText w:val="%1.%2.%3.%4.%5.%6.%7.%8."/>
      <w:lvlJc w:val="left"/>
      <w:pPr>
        <w:tabs>
          <w:tab w:val="num" w:pos="4584"/>
        </w:tabs>
        <w:ind w:left="4008" w:hanging="1224"/>
      </w:pPr>
      <w:rPr>
        <w:rFonts w:cs="Times New Roman" w:hint="default"/>
      </w:rPr>
    </w:lvl>
    <w:lvl w:ilvl="8">
      <w:start w:val="1"/>
      <w:numFmt w:val="decimal"/>
      <w:lvlText w:val="%1.%2.%3.%4.%5.%6.%7.%8.%9."/>
      <w:lvlJc w:val="left"/>
      <w:pPr>
        <w:tabs>
          <w:tab w:val="num" w:pos="5304"/>
        </w:tabs>
        <w:ind w:left="4584" w:hanging="1440"/>
      </w:pPr>
      <w:rPr>
        <w:rFonts w:cs="Times New Roman" w:hint="default"/>
      </w:rPr>
    </w:lvl>
  </w:abstractNum>
  <w:abstractNum w:abstractNumId="37" w15:restartNumberingAfterBreak="0">
    <w:nsid w:val="45D011AB"/>
    <w:multiLevelType w:val="multilevel"/>
    <w:tmpl w:val="BCC6B0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8" w15:restartNumberingAfterBreak="0">
    <w:nsid w:val="4B8A3142"/>
    <w:multiLevelType w:val="multilevel"/>
    <w:tmpl w:val="4170F59E"/>
    <w:lvl w:ilvl="0">
      <w:start w:val="1"/>
      <w:numFmt w:val="decimal"/>
      <w:suff w:val="space"/>
      <w:lvlText w:val="%1."/>
      <w:lvlJc w:val="left"/>
      <w:pPr>
        <w:ind w:left="680" w:hanging="340"/>
      </w:pPr>
      <w:rPr>
        <w:rFonts w:cs="Times New Roman" w:hint="default"/>
      </w:rPr>
    </w:lvl>
    <w:lvl w:ilvl="1">
      <w:start w:val="1"/>
      <w:numFmt w:val="decimal"/>
      <w:suff w:val="space"/>
      <w:lvlText w:val="%1.%2."/>
      <w:lvlJc w:val="left"/>
      <w:pPr>
        <w:ind w:left="1134" w:hanging="510"/>
      </w:pPr>
      <w:rPr>
        <w:rFonts w:cs="Times New Roman" w:hint="default"/>
      </w:rPr>
    </w:lvl>
    <w:lvl w:ilvl="2">
      <w:start w:val="1"/>
      <w:numFmt w:val="decimal"/>
      <w:suff w:val="space"/>
      <w:lvlText w:val="%1.%2.%3."/>
      <w:lvlJc w:val="left"/>
      <w:pPr>
        <w:ind w:left="1701" w:hanging="717"/>
      </w:pPr>
      <w:rPr>
        <w:rFonts w:cs="Times New Roman" w:hint="default"/>
      </w:rPr>
    </w:lvl>
    <w:lvl w:ilvl="3">
      <w:start w:val="1"/>
      <w:numFmt w:val="decimal"/>
      <w:lvlText w:val="%1.%2.%3.%4."/>
      <w:lvlJc w:val="left"/>
      <w:pPr>
        <w:tabs>
          <w:tab w:val="num" w:pos="2424"/>
        </w:tabs>
        <w:ind w:left="1992" w:hanging="648"/>
      </w:pPr>
      <w:rPr>
        <w:rFonts w:cs="Times New Roman" w:hint="default"/>
      </w:rPr>
    </w:lvl>
    <w:lvl w:ilvl="4">
      <w:start w:val="1"/>
      <w:numFmt w:val="decimal"/>
      <w:lvlText w:val="%1.%2.%3.%4.%5."/>
      <w:lvlJc w:val="left"/>
      <w:pPr>
        <w:tabs>
          <w:tab w:val="num" w:pos="2784"/>
        </w:tabs>
        <w:ind w:left="2496" w:hanging="792"/>
      </w:pPr>
      <w:rPr>
        <w:rFonts w:cs="Times New Roman" w:hint="default"/>
      </w:rPr>
    </w:lvl>
    <w:lvl w:ilvl="5">
      <w:start w:val="1"/>
      <w:numFmt w:val="decimal"/>
      <w:lvlText w:val="%1.%2.%3.%4.%5.%6."/>
      <w:lvlJc w:val="left"/>
      <w:pPr>
        <w:tabs>
          <w:tab w:val="num" w:pos="3504"/>
        </w:tabs>
        <w:ind w:left="3000" w:hanging="936"/>
      </w:pPr>
      <w:rPr>
        <w:rFonts w:cs="Times New Roman" w:hint="default"/>
      </w:rPr>
    </w:lvl>
    <w:lvl w:ilvl="6">
      <w:start w:val="1"/>
      <w:numFmt w:val="decimal"/>
      <w:lvlText w:val="%1.%2.%3.%4.%5.%6.%7."/>
      <w:lvlJc w:val="left"/>
      <w:pPr>
        <w:tabs>
          <w:tab w:val="num" w:pos="3864"/>
        </w:tabs>
        <w:ind w:left="3504" w:hanging="1080"/>
      </w:pPr>
      <w:rPr>
        <w:rFonts w:cs="Times New Roman" w:hint="default"/>
      </w:rPr>
    </w:lvl>
    <w:lvl w:ilvl="7">
      <w:start w:val="1"/>
      <w:numFmt w:val="decimal"/>
      <w:lvlText w:val="%1.%2.%3.%4.%5.%6.%7.%8."/>
      <w:lvlJc w:val="left"/>
      <w:pPr>
        <w:tabs>
          <w:tab w:val="num" w:pos="4584"/>
        </w:tabs>
        <w:ind w:left="4008" w:hanging="1224"/>
      </w:pPr>
      <w:rPr>
        <w:rFonts w:cs="Times New Roman" w:hint="default"/>
      </w:rPr>
    </w:lvl>
    <w:lvl w:ilvl="8">
      <w:start w:val="1"/>
      <w:numFmt w:val="decimal"/>
      <w:lvlText w:val="%1.%2.%3.%4.%5.%6.%7.%8.%9."/>
      <w:lvlJc w:val="left"/>
      <w:pPr>
        <w:tabs>
          <w:tab w:val="num" w:pos="5304"/>
        </w:tabs>
        <w:ind w:left="4584" w:hanging="1440"/>
      </w:pPr>
      <w:rPr>
        <w:rFonts w:cs="Times New Roman" w:hint="default"/>
      </w:rPr>
    </w:lvl>
  </w:abstractNum>
  <w:abstractNum w:abstractNumId="39" w15:restartNumberingAfterBreak="0">
    <w:nsid w:val="4C161A56"/>
    <w:multiLevelType w:val="multilevel"/>
    <w:tmpl w:val="C4825A18"/>
    <w:lvl w:ilvl="0">
      <w:start w:val="1"/>
      <w:numFmt w:val="decimal"/>
      <w:suff w:val="space"/>
      <w:lvlText w:val="%1."/>
      <w:lvlJc w:val="left"/>
      <w:pPr>
        <w:ind w:left="680" w:hanging="340"/>
      </w:pPr>
      <w:rPr>
        <w:rFonts w:cs="Times New Roman" w:hint="default"/>
      </w:rPr>
    </w:lvl>
    <w:lvl w:ilvl="1">
      <w:start w:val="1"/>
      <w:numFmt w:val="decimal"/>
      <w:suff w:val="space"/>
      <w:lvlText w:val="%1.%2."/>
      <w:lvlJc w:val="left"/>
      <w:pPr>
        <w:ind w:left="1191" w:hanging="567"/>
      </w:pPr>
      <w:rPr>
        <w:rFonts w:cs="Times New Roman" w:hint="default"/>
      </w:rPr>
    </w:lvl>
    <w:lvl w:ilvl="2">
      <w:start w:val="1"/>
      <w:numFmt w:val="decimal"/>
      <w:suff w:val="space"/>
      <w:lvlText w:val="%1.%2.%3."/>
      <w:lvlJc w:val="left"/>
      <w:pPr>
        <w:ind w:left="1701" w:hanging="717"/>
      </w:pPr>
      <w:rPr>
        <w:rFonts w:cs="Times New Roman" w:hint="default"/>
      </w:rPr>
    </w:lvl>
    <w:lvl w:ilvl="3">
      <w:start w:val="1"/>
      <w:numFmt w:val="decimal"/>
      <w:lvlText w:val="%1.%2.%3.%4."/>
      <w:lvlJc w:val="left"/>
      <w:pPr>
        <w:tabs>
          <w:tab w:val="num" w:pos="2424"/>
        </w:tabs>
        <w:ind w:left="1992" w:hanging="648"/>
      </w:pPr>
      <w:rPr>
        <w:rFonts w:cs="Times New Roman" w:hint="default"/>
      </w:rPr>
    </w:lvl>
    <w:lvl w:ilvl="4">
      <w:start w:val="1"/>
      <w:numFmt w:val="decimal"/>
      <w:lvlText w:val="%1.%2.%3.%4.%5."/>
      <w:lvlJc w:val="left"/>
      <w:pPr>
        <w:tabs>
          <w:tab w:val="num" w:pos="2784"/>
        </w:tabs>
        <w:ind w:left="2496" w:hanging="792"/>
      </w:pPr>
      <w:rPr>
        <w:rFonts w:cs="Times New Roman" w:hint="default"/>
      </w:rPr>
    </w:lvl>
    <w:lvl w:ilvl="5">
      <w:start w:val="1"/>
      <w:numFmt w:val="decimal"/>
      <w:lvlText w:val="%1.%2.%3.%4.%5.%6."/>
      <w:lvlJc w:val="left"/>
      <w:pPr>
        <w:tabs>
          <w:tab w:val="num" w:pos="3504"/>
        </w:tabs>
        <w:ind w:left="3000" w:hanging="936"/>
      </w:pPr>
      <w:rPr>
        <w:rFonts w:cs="Times New Roman" w:hint="default"/>
      </w:rPr>
    </w:lvl>
    <w:lvl w:ilvl="6">
      <w:start w:val="1"/>
      <w:numFmt w:val="decimal"/>
      <w:lvlText w:val="%1.%2.%3.%4.%5.%6.%7."/>
      <w:lvlJc w:val="left"/>
      <w:pPr>
        <w:tabs>
          <w:tab w:val="num" w:pos="3864"/>
        </w:tabs>
        <w:ind w:left="3504" w:hanging="1080"/>
      </w:pPr>
      <w:rPr>
        <w:rFonts w:cs="Times New Roman" w:hint="default"/>
      </w:rPr>
    </w:lvl>
    <w:lvl w:ilvl="7">
      <w:start w:val="1"/>
      <w:numFmt w:val="decimal"/>
      <w:lvlText w:val="%1.%2.%3.%4.%5.%6.%7.%8."/>
      <w:lvlJc w:val="left"/>
      <w:pPr>
        <w:tabs>
          <w:tab w:val="num" w:pos="4584"/>
        </w:tabs>
        <w:ind w:left="4008" w:hanging="1224"/>
      </w:pPr>
      <w:rPr>
        <w:rFonts w:cs="Times New Roman" w:hint="default"/>
      </w:rPr>
    </w:lvl>
    <w:lvl w:ilvl="8">
      <w:start w:val="1"/>
      <w:numFmt w:val="decimal"/>
      <w:lvlText w:val="%1.%2.%3.%4.%5.%6.%7.%8.%9."/>
      <w:lvlJc w:val="left"/>
      <w:pPr>
        <w:tabs>
          <w:tab w:val="num" w:pos="5304"/>
        </w:tabs>
        <w:ind w:left="4584" w:hanging="1440"/>
      </w:pPr>
      <w:rPr>
        <w:rFonts w:cs="Times New Roman" w:hint="default"/>
      </w:rPr>
    </w:lvl>
  </w:abstractNum>
  <w:abstractNum w:abstractNumId="40" w15:restartNumberingAfterBreak="0">
    <w:nsid w:val="4C8D0E68"/>
    <w:multiLevelType w:val="hybridMultilevel"/>
    <w:tmpl w:val="E0060A0C"/>
    <w:lvl w:ilvl="0" w:tplc="FFFFFFFF">
      <w:start w:val="1"/>
      <w:numFmt w:val="bullet"/>
      <w:lvlText w:val=""/>
      <w:lvlJc w:val="left"/>
      <w:pPr>
        <w:ind w:left="1080" w:hanging="360"/>
      </w:pPr>
      <w:rPr>
        <w:rFonts w:ascii="Symbol" w:hAnsi="Symbol" w:hint="default"/>
        <w:color w:val="0E9A4A" w:themeColor="text2"/>
      </w:rPr>
    </w:lvl>
    <w:lvl w:ilvl="1" w:tplc="FFFFFFFF">
      <w:start w:val="1"/>
      <w:numFmt w:val="bullet"/>
      <w:lvlText w:val="o"/>
      <w:lvlJc w:val="left"/>
      <w:pPr>
        <w:ind w:left="1800" w:hanging="360"/>
      </w:pPr>
      <w:rPr>
        <w:rFonts w:ascii="Courier New" w:hAnsi="Courier New" w:hint="default"/>
        <w:color w:val="0E9A4A" w:themeColor="text2"/>
      </w:rPr>
    </w:lvl>
    <w:lvl w:ilvl="2" w:tplc="FFFFFFFF">
      <w:start w:val="1"/>
      <w:numFmt w:val="bullet"/>
      <w:lvlText w:val=""/>
      <w:lvlJc w:val="left"/>
      <w:pPr>
        <w:ind w:left="2520" w:hanging="360"/>
      </w:pPr>
      <w:rPr>
        <w:rFonts w:ascii="Symbol" w:hAnsi="Symbol" w:hint="default"/>
      </w:rPr>
    </w:lvl>
    <w:lvl w:ilvl="3" w:tplc="760C4AA8">
      <w:start w:val="1"/>
      <w:numFmt w:val="bullet"/>
      <w:lvlText w:val="o"/>
      <w:lvlJc w:val="left"/>
      <w:pPr>
        <w:ind w:left="2520" w:hanging="360"/>
      </w:pPr>
      <w:rPr>
        <w:rFonts w:ascii="Courier New" w:hAnsi="Courier New" w:hint="default"/>
        <w:color w:val="EC2122" w:themeColor="accent4"/>
      </w:rPr>
    </w:lvl>
    <w:lvl w:ilvl="4" w:tplc="FFFFFFFF">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4DF86416"/>
    <w:multiLevelType w:val="multilevel"/>
    <w:tmpl w:val="B8D67464"/>
    <w:lvl w:ilvl="0">
      <w:start w:val="1"/>
      <w:numFmt w:val="decimal"/>
      <w:suff w:val="space"/>
      <w:lvlText w:val="%1."/>
      <w:lvlJc w:val="left"/>
      <w:pPr>
        <w:ind w:left="624" w:hanging="303"/>
      </w:pPr>
      <w:rPr>
        <w:rFonts w:cs="Times New Roman" w:hint="default"/>
      </w:rPr>
    </w:lvl>
    <w:lvl w:ilvl="1">
      <w:start w:val="1"/>
      <w:numFmt w:val="decimal"/>
      <w:suff w:val="space"/>
      <w:lvlText w:val="%1.%2."/>
      <w:lvlJc w:val="left"/>
      <w:pPr>
        <w:ind w:left="1134" w:hanging="510"/>
      </w:pPr>
      <w:rPr>
        <w:rFonts w:cs="Times New Roman" w:hint="default"/>
      </w:rPr>
    </w:lvl>
    <w:lvl w:ilvl="2">
      <w:start w:val="1"/>
      <w:numFmt w:val="decimal"/>
      <w:suff w:val="space"/>
      <w:lvlText w:val="%1.%2.%3."/>
      <w:lvlJc w:val="left"/>
      <w:pPr>
        <w:ind w:left="1701" w:hanging="717"/>
      </w:pPr>
      <w:rPr>
        <w:rFonts w:cs="Times New Roman" w:hint="default"/>
      </w:rPr>
    </w:lvl>
    <w:lvl w:ilvl="3">
      <w:start w:val="1"/>
      <w:numFmt w:val="decimal"/>
      <w:lvlText w:val="%1.%2.%3.%4."/>
      <w:lvlJc w:val="left"/>
      <w:pPr>
        <w:tabs>
          <w:tab w:val="num" w:pos="2424"/>
        </w:tabs>
        <w:ind w:left="1992" w:hanging="648"/>
      </w:pPr>
      <w:rPr>
        <w:rFonts w:cs="Times New Roman" w:hint="default"/>
      </w:rPr>
    </w:lvl>
    <w:lvl w:ilvl="4">
      <w:start w:val="1"/>
      <w:numFmt w:val="decimal"/>
      <w:lvlText w:val="%1.%2.%3.%4.%5."/>
      <w:lvlJc w:val="left"/>
      <w:pPr>
        <w:tabs>
          <w:tab w:val="num" w:pos="2784"/>
        </w:tabs>
        <w:ind w:left="2496" w:hanging="792"/>
      </w:pPr>
      <w:rPr>
        <w:rFonts w:cs="Times New Roman" w:hint="default"/>
      </w:rPr>
    </w:lvl>
    <w:lvl w:ilvl="5">
      <w:start w:val="1"/>
      <w:numFmt w:val="decimal"/>
      <w:lvlText w:val="%1.%2.%3.%4.%5.%6."/>
      <w:lvlJc w:val="left"/>
      <w:pPr>
        <w:tabs>
          <w:tab w:val="num" w:pos="3504"/>
        </w:tabs>
        <w:ind w:left="3000" w:hanging="936"/>
      </w:pPr>
      <w:rPr>
        <w:rFonts w:cs="Times New Roman" w:hint="default"/>
      </w:rPr>
    </w:lvl>
    <w:lvl w:ilvl="6">
      <w:start w:val="1"/>
      <w:numFmt w:val="decimal"/>
      <w:lvlText w:val="%1.%2.%3.%4.%5.%6.%7."/>
      <w:lvlJc w:val="left"/>
      <w:pPr>
        <w:tabs>
          <w:tab w:val="num" w:pos="3864"/>
        </w:tabs>
        <w:ind w:left="3504" w:hanging="1080"/>
      </w:pPr>
      <w:rPr>
        <w:rFonts w:cs="Times New Roman" w:hint="default"/>
      </w:rPr>
    </w:lvl>
    <w:lvl w:ilvl="7">
      <w:start w:val="1"/>
      <w:numFmt w:val="decimal"/>
      <w:lvlText w:val="%1.%2.%3.%4.%5.%6.%7.%8."/>
      <w:lvlJc w:val="left"/>
      <w:pPr>
        <w:tabs>
          <w:tab w:val="num" w:pos="4584"/>
        </w:tabs>
        <w:ind w:left="4008" w:hanging="1224"/>
      </w:pPr>
      <w:rPr>
        <w:rFonts w:cs="Times New Roman" w:hint="default"/>
      </w:rPr>
    </w:lvl>
    <w:lvl w:ilvl="8">
      <w:start w:val="1"/>
      <w:numFmt w:val="decimal"/>
      <w:lvlText w:val="%1.%2.%3.%4.%5.%6.%7.%8.%9."/>
      <w:lvlJc w:val="left"/>
      <w:pPr>
        <w:tabs>
          <w:tab w:val="num" w:pos="5304"/>
        </w:tabs>
        <w:ind w:left="4584" w:hanging="1440"/>
      </w:pPr>
      <w:rPr>
        <w:rFonts w:cs="Times New Roman" w:hint="default"/>
      </w:rPr>
    </w:lvl>
  </w:abstractNum>
  <w:abstractNum w:abstractNumId="42" w15:restartNumberingAfterBreak="0">
    <w:nsid w:val="4EAD196A"/>
    <w:multiLevelType w:val="multilevel"/>
    <w:tmpl w:val="BA0CE7FE"/>
    <w:lvl w:ilvl="0">
      <w:start w:val="1"/>
      <w:numFmt w:val="decimal"/>
      <w:lvlText w:val="%1."/>
      <w:lvlJc w:val="left"/>
      <w:pPr>
        <w:tabs>
          <w:tab w:val="num" w:pos="624"/>
        </w:tabs>
        <w:ind w:left="624" w:hanging="303"/>
      </w:pPr>
      <w:rPr>
        <w:rFonts w:cs="Times New Roman" w:hint="default"/>
      </w:rPr>
    </w:lvl>
    <w:lvl w:ilvl="1">
      <w:start w:val="1"/>
      <w:numFmt w:val="decimal"/>
      <w:suff w:val="space"/>
      <w:lvlText w:val="%1.%2."/>
      <w:lvlJc w:val="left"/>
      <w:pPr>
        <w:ind w:left="737" w:hanging="113"/>
      </w:pPr>
      <w:rPr>
        <w:rFonts w:cs="Times New Roman" w:hint="default"/>
      </w:rPr>
    </w:lvl>
    <w:lvl w:ilvl="2">
      <w:start w:val="1"/>
      <w:numFmt w:val="decimal"/>
      <w:lvlText w:val="%1.%2.%3."/>
      <w:lvlJc w:val="left"/>
      <w:pPr>
        <w:tabs>
          <w:tab w:val="num" w:pos="1704"/>
        </w:tabs>
        <w:ind w:left="1488" w:hanging="504"/>
      </w:pPr>
      <w:rPr>
        <w:rFonts w:cs="Times New Roman" w:hint="default"/>
      </w:rPr>
    </w:lvl>
    <w:lvl w:ilvl="3">
      <w:start w:val="1"/>
      <w:numFmt w:val="decimal"/>
      <w:lvlText w:val="%1.%2.%3.%4."/>
      <w:lvlJc w:val="left"/>
      <w:pPr>
        <w:tabs>
          <w:tab w:val="num" w:pos="2424"/>
        </w:tabs>
        <w:ind w:left="1992" w:hanging="648"/>
      </w:pPr>
      <w:rPr>
        <w:rFonts w:cs="Times New Roman" w:hint="default"/>
      </w:rPr>
    </w:lvl>
    <w:lvl w:ilvl="4">
      <w:start w:val="1"/>
      <w:numFmt w:val="decimal"/>
      <w:lvlText w:val="%1.%2.%3.%4.%5."/>
      <w:lvlJc w:val="left"/>
      <w:pPr>
        <w:tabs>
          <w:tab w:val="num" w:pos="2784"/>
        </w:tabs>
        <w:ind w:left="2496" w:hanging="792"/>
      </w:pPr>
      <w:rPr>
        <w:rFonts w:cs="Times New Roman" w:hint="default"/>
      </w:rPr>
    </w:lvl>
    <w:lvl w:ilvl="5">
      <w:start w:val="1"/>
      <w:numFmt w:val="decimal"/>
      <w:lvlText w:val="%1.%2.%3.%4.%5.%6."/>
      <w:lvlJc w:val="left"/>
      <w:pPr>
        <w:tabs>
          <w:tab w:val="num" w:pos="3504"/>
        </w:tabs>
        <w:ind w:left="3000" w:hanging="936"/>
      </w:pPr>
      <w:rPr>
        <w:rFonts w:cs="Times New Roman" w:hint="default"/>
      </w:rPr>
    </w:lvl>
    <w:lvl w:ilvl="6">
      <w:start w:val="1"/>
      <w:numFmt w:val="decimal"/>
      <w:lvlText w:val="%1.%2.%3.%4.%5.%6.%7."/>
      <w:lvlJc w:val="left"/>
      <w:pPr>
        <w:tabs>
          <w:tab w:val="num" w:pos="3864"/>
        </w:tabs>
        <w:ind w:left="3504" w:hanging="1080"/>
      </w:pPr>
      <w:rPr>
        <w:rFonts w:cs="Times New Roman" w:hint="default"/>
      </w:rPr>
    </w:lvl>
    <w:lvl w:ilvl="7">
      <w:start w:val="1"/>
      <w:numFmt w:val="decimal"/>
      <w:lvlText w:val="%1.%2.%3.%4.%5.%6.%7.%8."/>
      <w:lvlJc w:val="left"/>
      <w:pPr>
        <w:tabs>
          <w:tab w:val="num" w:pos="4584"/>
        </w:tabs>
        <w:ind w:left="4008" w:hanging="1224"/>
      </w:pPr>
      <w:rPr>
        <w:rFonts w:cs="Times New Roman" w:hint="default"/>
      </w:rPr>
    </w:lvl>
    <w:lvl w:ilvl="8">
      <w:start w:val="1"/>
      <w:numFmt w:val="decimal"/>
      <w:lvlText w:val="%1.%2.%3.%4.%5.%6.%7.%8.%9."/>
      <w:lvlJc w:val="left"/>
      <w:pPr>
        <w:tabs>
          <w:tab w:val="num" w:pos="5304"/>
        </w:tabs>
        <w:ind w:left="4584" w:hanging="1440"/>
      </w:pPr>
      <w:rPr>
        <w:rFonts w:cs="Times New Roman" w:hint="default"/>
      </w:rPr>
    </w:lvl>
  </w:abstractNum>
  <w:abstractNum w:abstractNumId="43" w15:restartNumberingAfterBreak="0">
    <w:nsid w:val="51305AD8"/>
    <w:multiLevelType w:val="multilevel"/>
    <w:tmpl w:val="729EB1E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4" w15:restartNumberingAfterBreak="0">
    <w:nsid w:val="55350E58"/>
    <w:multiLevelType w:val="multilevel"/>
    <w:tmpl w:val="90FA4410"/>
    <w:lvl w:ilvl="0">
      <w:start w:val="1"/>
      <w:numFmt w:val="decimal"/>
      <w:lvlText w:val="%1."/>
      <w:lvlJc w:val="left"/>
      <w:pPr>
        <w:tabs>
          <w:tab w:val="num" w:pos="454"/>
        </w:tabs>
        <w:ind w:left="454" w:hanging="360"/>
      </w:pPr>
      <w:rPr>
        <w:rFonts w:cs="Times New Roman" w:hint="default"/>
      </w:rPr>
    </w:lvl>
    <w:lvl w:ilvl="1">
      <w:start w:val="1"/>
      <w:numFmt w:val="decimal"/>
      <w:lvlText w:val="%1.%2."/>
      <w:lvlJc w:val="left"/>
      <w:pPr>
        <w:tabs>
          <w:tab w:val="num" w:pos="886"/>
        </w:tabs>
        <w:ind w:left="886" w:hanging="432"/>
      </w:pPr>
      <w:rPr>
        <w:rFonts w:cs="Times New Roman" w:hint="default"/>
      </w:rPr>
    </w:lvl>
    <w:lvl w:ilvl="2">
      <w:start w:val="1"/>
      <w:numFmt w:val="decimal"/>
      <w:lvlText w:val="%1.%2.%3."/>
      <w:lvlJc w:val="left"/>
      <w:pPr>
        <w:tabs>
          <w:tab w:val="num" w:pos="1534"/>
        </w:tabs>
        <w:ind w:left="1318" w:hanging="504"/>
      </w:pPr>
      <w:rPr>
        <w:rFonts w:cs="Times New Roman" w:hint="default"/>
      </w:rPr>
    </w:lvl>
    <w:lvl w:ilvl="3">
      <w:start w:val="1"/>
      <w:numFmt w:val="decimal"/>
      <w:lvlText w:val="%1.%2.%3.%4."/>
      <w:lvlJc w:val="left"/>
      <w:pPr>
        <w:tabs>
          <w:tab w:val="num" w:pos="2254"/>
        </w:tabs>
        <w:ind w:left="1822" w:hanging="648"/>
      </w:pPr>
      <w:rPr>
        <w:rFonts w:cs="Times New Roman" w:hint="default"/>
      </w:rPr>
    </w:lvl>
    <w:lvl w:ilvl="4">
      <w:start w:val="1"/>
      <w:numFmt w:val="decimal"/>
      <w:lvlText w:val="%1.%2.%3.%4.%5."/>
      <w:lvlJc w:val="left"/>
      <w:pPr>
        <w:tabs>
          <w:tab w:val="num" w:pos="2614"/>
        </w:tabs>
        <w:ind w:left="2326" w:hanging="792"/>
      </w:pPr>
      <w:rPr>
        <w:rFonts w:cs="Times New Roman" w:hint="default"/>
      </w:rPr>
    </w:lvl>
    <w:lvl w:ilvl="5">
      <w:start w:val="1"/>
      <w:numFmt w:val="decimal"/>
      <w:lvlText w:val="%1.%2.%3.%4.%5.%6."/>
      <w:lvlJc w:val="left"/>
      <w:pPr>
        <w:tabs>
          <w:tab w:val="num" w:pos="3334"/>
        </w:tabs>
        <w:ind w:left="2830" w:hanging="936"/>
      </w:pPr>
      <w:rPr>
        <w:rFonts w:cs="Times New Roman" w:hint="default"/>
      </w:rPr>
    </w:lvl>
    <w:lvl w:ilvl="6">
      <w:start w:val="1"/>
      <w:numFmt w:val="decimal"/>
      <w:lvlText w:val="%1.%2.%3.%4.%5.%6.%7."/>
      <w:lvlJc w:val="left"/>
      <w:pPr>
        <w:tabs>
          <w:tab w:val="num" w:pos="3694"/>
        </w:tabs>
        <w:ind w:left="3334" w:hanging="1080"/>
      </w:pPr>
      <w:rPr>
        <w:rFonts w:cs="Times New Roman" w:hint="default"/>
      </w:rPr>
    </w:lvl>
    <w:lvl w:ilvl="7">
      <w:start w:val="1"/>
      <w:numFmt w:val="decimal"/>
      <w:lvlText w:val="%1.%2.%3.%4.%5.%6.%7.%8."/>
      <w:lvlJc w:val="left"/>
      <w:pPr>
        <w:tabs>
          <w:tab w:val="num" w:pos="4414"/>
        </w:tabs>
        <w:ind w:left="3838" w:hanging="1224"/>
      </w:pPr>
      <w:rPr>
        <w:rFonts w:cs="Times New Roman" w:hint="default"/>
      </w:rPr>
    </w:lvl>
    <w:lvl w:ilvl="8">
      <w:start w:val="1"/>
      <w:numFmt w:val="decimal"/>
      <w:lvlText w:val="%1.%2.%3.%4.%5.%6.%7.%8.%9."/>
      <w:lvlJc w:val="left"/>
      <w:pPr>
        <w:tabs>
          <w:tab w:val="num" w:pos="5134"/>
        </w:tabs>
        <w:ind w:left="4414" w:hanging="1440"/>
      </w:pPr>
      <w:rPr>
        <w:rFonts w:cs="Times New Roman" w:hint="default"/>
      </w:rPr>
    </w:lvl>
  </w:abstractNum>
  <w:abstractNum w:abstractNumId="45" w15:restartNumberingAfterBreak="0">
    <w:nsid w:val="57D12B1D"/>
    <w:multiLevelType w:val="hybridMultilevel"/>
    <w:tmpl w:val="1A022072"/>
    <w:lvl w:ilvl="0" w:tplc="0BDEBF08">
      <w:start w:val="1"/>
      <w:numFmt w:val="bullet"/>
      <w:pStyle w:val="Lis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02715A9"/>
    <w:multiLevelType w:val="hybridMultilevel"/>
    <w:tmpl w:val="C7A831AC"/>
    <w:lvl w:ilvl="0" w:tplc="FFFFFFFF">
      <w:start w:val="1"/>
      <w:numFmt w:val="bullet"/>
      <w:lvlText w:val=""/>
      <w:lvlJc w:val="left"/>
      <w:pPr>
        <w:ind w:left="720" w:hanging="360"/>
      </w:pPr>
      <w:rPr>
        <w:rFonts w:ascii="Symbol" w:hAnsi="Symbol" w:hint="default"/>
      </w:rPr>
    </w:lvl>
    <w:lvl w:ilvl="1" w:tplc="4CEC77AE">
      <w:start w:val="1"/>
      <w:numFmt w:val="bullet"/>
      <w:lvlText w:val="o"/>
      <w:lvlJc w:val="left"/>
      <w:pPr>
        <w:ind w:left="1440" w:hanging="360"/>
      </w:pPr>
      <w:rPr>
        <w:rFonts w:ascii="Courier New" w:hAnsi="Courier New" w:hint="default"/>
        <w:color w:val="0E9A4A" w:themeColor="text2"/>
      </w:rPr>
    </w:lvl>
    <w:lvl w:ilvl="2" w:tplc="FFFFFFFF">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06E39CA"/>
    <w:multiLevelType w:val="multilevel"/>
    <w:tmpl w:val="D660BCE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8" w15:restartNumberingAfterBreak="0">
    <w:nsid w:val="6104330B"/>
    <w:multiLevelType w:val="multilevel"/>
    <w:tmpl w:val="B66CC9AA"/>
    <w:lvl w:ilvl="0">
      <w:start w:val="1"/>
      <w:numFmt w:val="decimal"/>
      <w:lvlText w:val="%1"/>
      <w:lvlJc w:val="left"/>
      <w:pPr>
        <w:ind w:left="432" w:hanging="432"/>
      </w:pPr>
      <w:rPr>
        <w:rFonts w:asciiTheme="majorHAnsi" w:hAnsiTheme="majorHAnsi" w:cstheme="majorHAnsi" w:hint="default"/>
        <w:b/>
        <w:bCs/>
        <w:sz w:val="32"/>
        <w:szCs w:val="3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9" w15:restartNumberingAfterBreak="0">
    <w:nsid w:val="62022DC2"/>
    <w:multiLevelType w:val="multilevel"/>
    <w:tmpl w:val="E7AC586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0" w15:restartNumberingAfterBreak="0">
    <w:nsid w:val="64FE3E13"/>
    <w:multiLevelType w:val="multilevel"/>
    <w:tmpl w:val="19B0F298"/>
    <w:lvl w:ilvl="0">
      <w:start w:val="5"/>
      <w:numFmt w:val="none"/>
      <w:lvlText w:val="5"/>
      <w:lvlJc w:val="left"/>
      <w:pPr>
        <w:tabs>
          <w:tab w:val="num" w:pos="432"/>
        </w:tabs>
        <w:ind w:left="432" w:hanging="432"/>
      </w:pPr>
      <w:rPr>
        <w:rFonts w:cs="Times New Roman" w:hint="default"/>
      </w:rPr>
    </w:lvl>
    <w:lvl w:ilvl="1">
      <w:start w:val="1"/>
      <w:numFmt w:val="none"/>
      <w:lvlRestart w:val="0"/>
      <w:lvlText w:val="5.2"/>
      <w:lvlJc w:val="left"/>
      <w:pPr>
        <w:tabs>
          <w:tab w:val="num" w:pos="576"/>
        </w:tabs>
        <w:ind w:left="1191" w:hanging="1191"/>
      </w:pPr>
      <w:rPr>
        <w:rFonts w:cs="Times New Roman" w:hint="default"/>
      </w:rPr>
    </w:lvl>
    <w:lvl w:ilvl="2">
      <w:start w:val="1"/>
      <w:numFmt w:val="decimal"/>
      <w:lvlText w:val="%1.%2.1.2."/>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15:restartNumberingAfterBreak="0">
    <w:nsid w:val="65583C68"/>
    <w:multiLevelType w:val="hybridMultilevel"/>
    <w:tmpl w:val="563499FE"/>
    <w:lvl w:ilvl="0" w:tplc="2A08EA4A">
      <w:start w:val="1"/>
      <w:numFmt w:val="bullet"/>
      <w:lvlText w:val=""/>
      <w:lvlJc w:val="left"/>
      <w:pPr>
        <w:ind w:left="720" w:hanging="360"/>
      </w:pPr>
      <w:rPr>
        <w:rFonts w:ascii="Symbol" w:hAnsi="Symbol" w:hint="default"/>
        <w:color w:val="0E9A4A" w:themeColor="text2"/>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EF040DB"/>
    <w:multiLevelType w:val="multilevel"/>
    <w:tmpl w:val="0A9AFC0E"/>
    <w:lvl w:ilvl="0">
      <w:start w:val="1"/>
      <w:numFmt w:val="decimal"/>
      <w:lvlText w:val="%1"/>
      <w:lvlJc w:val="left"/>
      <w:pPr>
        <w:ind w:left="432" w:hanging="432"/>
      </w:pPr>
      <w:rPr>
        <w:rFonts w:asciiTheme="majorHAnsi" w:hAnsiTheme="majorHAnsi" w:cstheme="majorHAnsi" w:hint="default"/>
        <w:b/>
        <w:bC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6F781D51"/>
    <w:multiLevelType w:val="hybridMultilevel"/>
    <w:tmpl w:val="0756BB98"/>
    <w:lvl w:ilvl="0" w:tplc="72488F40">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54" w15:restartNumberingAfterBreak="0">
    <w:nsid w:val="70CA5797"/>
    <w:multiLevelType w:val="multilevel"/>
    <w:tmpl w:val="41DE3ADC"/>
    <w:lvl w:ilvl="0">
      <w:start w:val="1"/>
      <w:numFmt w:val="decimal"/>
      <w:lvlText w:val="%1."/>
      <w:lvlJc w:val="left"/>
      <w:pPr>
        <w:tabs>
          <w:tab w:val="num" w:pos="624"/>
        </w:tabs>
        <w:ind w:left="624" w:hanging="303"/>
      </w:pPr>
      <w:rPr>
        <w:rFonts w:cs="Times New Roman" w:hint="default"/>
      </w:rPr>
    </w:lvl>
    <w:lvl w:ilvl="1">
      <w:start w:val="1"/>
      <w:numFmt w:val="decimal"/>
      <w:lvlText w:val="%1.%2."/>
      <w:lvlJc w:val="left"/>
      <w:pPr>
        <w:tabs>
          <w:tab w:val="num" w:pos="851"/>
        </w:tabs>
        <w:ind w:left="851" w:hanging="227"/>
      </w:pPr>
      <w:rPr>
        <w:rFonts w:cs="Times New Roman" w:hint="default"/>
      </w:rPr>
    </w:lvl>
    <w:lvl w:ilvl="2">
      <w:start w:val="1"/>
      <w:numFmt w:val="decimal"/>
      <w:lvlText w:val="%1.%2.%3."/>
      <w:lvlJc w:val="left"/>
      <w:pPr>
        <w:tabs>
          <w:tab w:val="num" w:pos="1704"/>
        </w:tabs>
        <w:ind w:left="1488" w:hanging="504"/>
      </w:pPr>
      <w:rPr>
        <w:rFonts w:cs="Times New Roman" w:hint="default"/>
      </w:rPr>
    </w:lvl>
    <w:lvl w:ilvl="3">
      <w:start w:val="1"/>
      <w:numFmt w:val="decimal"/>
      <w:lvlText w:val="%1.%2.%3.%4."/>
      <w:lvlJc w:val="left"/>
      <w:pPr>
        <w:tabs>
          <w:tab w:val="num" w:pos="2424"/>
        </w:tabs>
        <w:ind w:left="1992" w:hanging="648"/>
      </w:pPr>
      <w:rPr>
        <w:rFonts w:cs="Times New Roman" w:hint="default"/>
      </w:rPr>
    </w:lvl>
    <w:lvl w:ilvl="4">
      <w:start w:val="1"/>
      <w:numFmt w:val="decimal"/>
      <w:lvlText w:val="%1.%2.%3.%4.%5."/>
      <w:lvlJc w:val="left"/>
      <w:pPr>
        <w:tabs>
          <w:tab w:val="num" w:pos="2784"/>
        </w:tabs>
        <w:ind w:left="2496" w:hanging="792"/>
      </w:pPr>
      <w:rPr>
        <w:rFonts w:cs="Times New Roman" w:hint="default"/>
      </w:rPr>
    </w:lvl>
    <w:lvl w:ilvl="5">
      <w:start w:val="1"/>
      <w:numFmt w:val="decimal"/>
      <w:lvlText w:val="%1.%2.%3.%4.%5.%6."/>
      <w:lvlJc w:val="left"/>
      <w:pPr>
        <w:tabs>
          <w:tab w:val="num" w:pos="3504"/>
        </w:tabs>
        <w:ind w:left="3000" w:hanging="936"/>
      </w:pPr>
      <w:rPr>
        <w:rFonts w:cs="Times New Roman" w:hint="default"/>
      </w:rPr>
    </w:lvl>
    <w:lvl w:ilvl="6">
      <w:start w:val="1"/>
      <w:numFmt w:val="decimal"/>
      <w:lvlText w:val="%1.%2.%3.%4.%5.%6.%7."/>
      <w:lvlJc w:val="left"/>
      <w:pPr>
        <w:tabs>
          <w:tab w:val="num" w:pos="3864"/>
        </w:tabs>
        <w:ind w:left="3504" w:hanging="1080"/>
      </w:pPr>
      <w:rPr>
        <w:rFonts w:cs="Times New Roman" w:hint="default"/>
      </w:rPr>
    </w:lvl>
    <w:lvl w:ilvl="7">
      <w:start w:val="1"/>
      <w:numFmt w:val="decimal"/>
      <w:lvlText w:val="%1.%2.%3.%4.%5.%6.%7.%8."/>
      <w:lvlJc w:val="left"/>
      <w:pPr>
        <w:tabs>
          <w:tab w:val="num" w:pos="4584"/>
        </w:tabs>
        <w:ind w:left="4008" w:hanging="1224"/>
      </w:pPr>
      <w:rPr>
        <w:rFonts w:cs="Times New Roman" w:hint="default"/>
      </w:rPr>
    </w:lvl>
    <w:lvl w:ilvl="8">
      <w:start w:val="1"/>
      <w:numFmt w:val="decimal"/>
      <w:lvlText w:val="%1.%2.%3.%4.%5.%6.%7.%8.%9."/>
      <w:lvlJc w:val="left"/>
      <w:pPr>
        <w:tabs>
          <w:tab w:val="num" w:pos="5304"/>
        </w:tabs>
        <w:ind w:left="4584" w:hanging="1440"/>
      </w:pPr>
      <w:rPr>
        <w:rFonts w:cs="Times New Roman" w:hint="default"/>
      </w:rPr>
    </w:lvl>
  </w:abstractNum>
  <w:abstractNum w:abstractNumId="55" w15:restartNumberingAfterBreak="0">
    <w:nsid w:val="72E22BC8"/>
    <w:multiLevelType w:val="multilevel"/>
    <w:tmpl w:val="B596BB9A"/>
    <w:lvl w:ilvl="0">
      <w:start w:val="1"/>
      <w:numFmt w:val="decimal"/>
      <w:lvlText w:val="%1."/>
      <w:lvlJc w:val="left"/>
      <w:pPr>
        <w:tabs>
          <w:tab w:val="num" w:pos="624"/>
        </w:tabs>
        <w:ind w:left="624" w:hanging="303"/>
      </w:pPr>
      <w:rPr>
        <w:rFonts w:cs="Times New Roman" w:hint="default"/>
      </w:rPr>
    </w:lvl>
    <w:lvl w:ilvl="1">
      <w:start w:val="1"/>
      <w:numFmt w:val="decimal"/>
      <w:suff w:val="space"/>
      <w:lvlText w:val="%1.%2."/>
      <w:lvlJc w:val="left"/>
      <w:pPr>
        <w:ind w:left="1077" w:hanging="453"/>
      </w:pPr>
      <w:rPr>
        <w:rFonts w:cs="Times New Roman" w:hint="default"/>
      </w:rPr>
    </w:lvl>
    <w:lvl w:ilvl="2">
      <w:start w:val="1"/>
      <w:numFmt w:val="decimal"/>
      <w:lvlText w:val="%1.%2.%3."/>
      <w:lvlJc w:val="left"/>
      <w:pPr>
        <w:tabs>
          <w:tab w:val="num" w:pos="1704"/>
        </w:tabs>
        <w:ind w:left="1488" w:hanging="504"/>
      </w:pPr>
      <w:rPr>
        <w:rFonts w:cs="Times New Roman" w:hint="default"/>
      </w:rPr>
    </w:lvl>
    <w:lvl w:ilvl="3">
      <w:start w:val="1"/>
      <w:numFmt w:val="decimal"/>
      <w:lvlText w:val="%1.%2.%3.%4."/>
      <w:lvlJc w:val="left"/>
      <w:pPr>
        <w:tabs>
          <w:tab w:val="num" w:pos="2424"/>
        </w:tabs>
        <w:ind w:left="1992" w:hanging="648"/>
      </w:pPr>
      <w:rPr>
        <w:rFonts w:cs="Times New Roman" w:hint="default"/>
      </w:rPr>
    </w:lvl>
    <w:lvl w:ilvl="4">
      <w:start w:val="1"/>
      <w:numFmt w:val="decimal"/>
      <w:lvlText w:val="%1.%2.%3.%4.%5."/>
      <w:lvlJc w:val="left"/>
      <w:pPr>
        <w:tabs>
          <w:tab w:val="num" w:pos="2784"/>
        </w:tabs>
        <w:ind w:left="2496" w:hanging="792"/>
      </w:pPr>
      <w:rPr>
        <w:rFonts w:cs="Times New Roman" w:hint="default"/>
      </w:rPr>
    </w:lvl>
    <w:lvl w:ilvl="5">
      <w:start w:val="1"/>
      <w:numFmt w:val="decimal"/>
      <w:lvlText w:val="%1.%2.%3.%4.%5.%6."/>
      <w:lvlJc w:val="left"/>
      <w:pPr>
        <w:tabs>
          <w:tab w:val="num" w:pos="3504"/>
        </w:tabs>
        <w:ind w:left="3000" w:hanging="936"/>
      </w:pPr>
      <w:rPr>
        <w:rFonts w:cs="Times New Roman" w:hint="default"/>
      </w:rPr>
    </w:lvl>
    <w:lvl w:ilvl="6">
      <w:start w:val="1"/>
      <w:numFmt w:val="decimal"/>
      <w:lvlText w:val="%1.%2.%3.%4.%5.%6.%7."/>
      <w:lvlJc w:val="left"/>
      <w:pPr>
        <w:tabs>
          <w:tab w:val="num" w:pos="3864"/>
        </w:tabs>
        <w:ind w:left="3504" w:hanging="1080"/>
      </w:pPr>
      <w:rPr>
        <w:rFonts w:cs="Times New Roman" w:hint="default"/>
      </w:rPr>
    </w:lvl>
    <w:lvl w:ilvl="7">
      <w:start w:val="1"/>
      <w:numFmt w:val="decimal"/>
      <w:lvlText w:val="%1.%2.%3.%4.%5.%6.%7.%8."/>
      <w:lvlJc w:val="left"/>
      <w:pPr>
        <w:tabs>
          <w:tab w:val="num" w:pos="4584"/>
        </w:tabs>
        <w:ind w:left="4008" w:hanging="1224"/>
      </w:pPr>
      <w:rPr>
        <w:rFonts w:cs="Times New Roman" w:hint="default"/>
      </w:rPr>
    </w:lvl>
    <w:lvl w:ilvl="8">
      <w:start w:val="1"/>
      <w:numFmt w:val="decimal"/>
      <w:lvlText w:val="%1.%2.%3.%4.%5.%6.%7.%8.%9."/>
      <w:lvlJc w:val="left"/>
      <w:pPr>
        <w:tabs>
          <w:tab w:val="num" w:pos="5304"/>
        </w:tabs>
        <w:ind w:left="4584" w:hanging="1440"/>
      </w:pPr>
      <w:rPr>
        <w:rFonts w:cs="Times New Roman" w:hint="default"/>
      </w:rPr>
    </w:lvl>
  </w:abstractNum>
  <w:abstractNum w:abstractNumId="56" w15:restartNumberingAfterBreak="0">
    <w:nsid w:val="7738779A"/>
    <w:multiLevelType w:val="multilevel"/>
    <w:tmpl w:val="B5949EF0"/>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7" w15:restartNumberingAfterBreak="0">
    <w:nsid w:val="79CD7B54"/>
    <w:multiLevelType w:val="multilevel"/>
    <w:tmpl w:val="9A5A012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8" w15:restartNumberingAfterBreak="0">
    <w:nsid w:val="7D092697"/>
    <w:multiLevelType w:val="multilevel"/>
    <w:tmpl w:val="12E676FA"/>
    <w:lvl w:ilvl="0">
      <w:start w:val="1"/>
      <w:numFmt w:val="decimal"/>
      <w:lvlText w:val="%1."/>
      <w:lvlJc w:val="left"/>
      <w:pPr>
        <w:tabs>
          <w:tab w:val="num" w:pos="473"/>
        </w:tabs>
        <w:ind w:left="473" w:hanging="303"/>
      </w:pPr>
      <w:rPr>
        <w:rFonts w:cs="Times New Roman" w:hint="default"/>
      </w:rPr>
    </w:lvl>
    <w:lvl w:ilvl="1">
      <w:start w:val="1"/>
      <w:numFmt w:val="decimal"/>
      <w:lvlText w:val="%1.%2."/>
      <w:lvlJc w:val="left"/>
      <w:pPr>
        <w:tabs>
          <w:tab w:val="num" w:pos="905"/>
        </w:tabs>
        <w:ind w:left="905" w:hanging="432"/>
      </w:pPr>
      <w:rPr>
        <w:rFonts w:cs="Times New Roman" w:hint="default"/>
      </w:rPr>
    </w:lvl>
    <w:lvl w:ilvl="2">
      <w:start w:val="1"/>
      <w:numFmt w:val="decimal"/>
      <w:lvlText w:val="%1.%2.%3."/>
      <w:lvlJc w:val="left"/>
      <w:pPr>
        <w:tabs>
          <w:tab w:val="num" w:pos="1553"/>
        </w:tabs>
        <w:ind w:left="1337" w:hanging="504"/>
      </w:pPr>
      <w:rPr>
        <w:rFonts w:cs="Times New Roman" w:hint="default"/>
      </w:rPr>
    </w:lvl>
    <w:lvl w:ilvl="3">
      <w:start w:val="1"/>
      <w:numFmt w:val="decimal"/>
      <w:lvlText w:val="%1.%2.%3.%4."/>
      <w:lvlJc w:val="left"/>
      <w:pPr>
        <w:tabs>
          <w:tab w:val="num" w:pos="2273"/>
        </w:tabs>
        <w:ind w:left="1841" w:hanging="648"/>
      </w:pPr>
      <w:rPr>
        <w:rFonts w:cs="Times New Roman" w:hint="default"/>
      </w:rPr>
    </w:lvl>
    <w:lvl w:ilvl="4">
      <w:start w:val="1"/>
      <w:numFmt w:val="decimal"/>
      <w:lvlText w:val="%1.%2.%3.%4.%5."/>
      <w:lvlJc w:val="left"/>
      <w:pPr>
        <w:tabs>
          <w:tab w:val="num" w:pos="2633"/>
        </w:tabs>
        <w:ind w:left="2345" w:hanging="792"/>
      </w:pPr>
      <w:rPr>
        <w:rFonts w:cs="Times New Roman" w:hint="default"/>
      </w:rPr>
    </w:lvl>
    <w:lvl w:ilvl="5">
      <w:start w:val="1"/>
      <w:numFmt w:val="decimal"/>
      <w:lvlText w:val="%1.%2.%3.%4.%5.%6."/>
      <w:lvlJc w:val="left"/>
      <w:pPr>
        <w:tabs>
          <w:tab w:val="num" w:pos="3353"/>
        </w:tabs>
        <w:ind w:left="2849" w:hanging="936"/>
      </w:pPr>
      <w:rPr>
        <w:rFonts w:cs="Times New Roman" w:hint="default"/>
      </w:rPr>
    </w:lvl>
    <w:lvl w:ilvl="6">
      <w:start w:val="1"/>
      <w:numFmt w:val="decimal"/>
      <w:lvlText w:val="%1.%2.%3.%4.%5.%6.%7."/>
      <w:lvlJc w:val="left"/>
      <w:pPr>
        <w:tabs>
          <w:tab w:val="num" w:pos="3713"/>
        </w:tabs>
        <w:ind w:left="3353" w:hanging="1080"/>
      </w:pPr>
      <w:rPr>
        <w:rFonts w:cs="Times New Roman" w:hint="default"/>
      </w:rPr>
    </w:lvl>
    <w:lvl w:ilvl="7">
      <w:start w:val="1"/>
      <w:numFmt w:val="decimal"/>
      <w:lvlText w:val="%1.%2.%3.%4.%5.%6.%7.%8."/>
      <w:lvlJc w:val="left"/>
      <w:pPr>
        <w:tabs>
          <w:tab w:val="num" w:pos="4433"/>
        </w:tabs>
        <w:ind w:left="3857" w:hanging="1224"/>
      </w:pPr>
      <w:rPr>
        <w:rFonts w:cs="Times New Roman" w:hint="default"/>
      </w:rPr>
    </w:lvl>
    <w:lvl w:ilvl="8">
      <w:start w:val="1"/>
      <w:numFmt w:val="decimal"/>
      <w:lvlText w:val="%1.%2.%3.%4.%5.%6.%7.%8.%9."/>
      <w:lvlJc w:val="left"/>
      <w:pPr>
        <w:tabs>
          <w:tab w:val="num" w:pos="5153"/>
        </w:tabs>
        <w:ind w:left="4433" w:hanging="1440"/>
      </w:pPr>
      <w:rPr>
        <w:rFonts w:cs="Times New Roman" w:hint="default"/>
      </w:rPr>
    </w:lvl>
  </w:abstractNum>
  <w:abstractNum w:abstractNumId="59" w15:restartNumberingAfterBreak="0">
    <w:nsid w:val="7E5E2658"/>
    <w:multiLevelType w:val="multilevel"/>
    <w:tmpl w:val="A85E8DF2"/>
    <w:lvl w:ilvl="0">
      <w:start w:val="4"/>
      <w:numFmt w:val="decimal"/>
      <w:lvlText w:val="%1"/>
      <w:lvlJc w:val="left"/>
      <w:pPr>
        <w:tabs>
          <w:tab w:val="num" w:pos="432"/>
        </w:tabs>
        <w:ind w:left="432" w:hanging="432"/>
      </w:pPr>
      <w:rPr>
        <w:rFonts w:cs="Times New Roman" w:hint="default"/>
      </w:rPr>
    </w:lvl>
    <w:lvl w:ilvl="1">
      <w:start w:val="1"/>
      <w:numFmt w:val="none"/>
      <w:lvlText w:val="1.1."/>
      <w:lvlJc w:val="left"/>
      <w:pPr>
        <w:tabs>
          <w:tab w:val="num" w:pos="576"/>
        </w:tabs>
        <w:ind w:left="1191" w:hanging="1191"/>
      </w:pPr>
      <w:rPr>
        <w:rFonts w:cs="Times New Roman" w:hint="default"/>
      </w:rPr>
    </w:lvl>
    <w:lvl w:ilvl="2">
      <w:start w:val="1"/>
      <w:numFmt w:val="decimal"/>
      <w:lvlText w:val="%1.%2.1.2."/>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0" w15:restartNumberingAfterBreak="0">
    <w:nsid w:val="7F2E62E5"/>
    <w:multiLevelType w:val="hybridMultilevel"/>
    <w:tmpl w:val="85BAA7DA"/>
    <w:lvl w:ilvl="0" w:tplc="A5507DDA">
      <w:start w:val="5"/>
      <w:numFmt w:val="decimal"/>
      <w:lvlText w:val="%1."/>
      <w:lvlJc w:val="left"/>
      <w:pPr>
        <w:tabs>
          <w:tab w:val="num" w:pos="708"/>
        </w:tabs>
        <w:ind w:left="708" w:hanging="570"/>
      </w:pPr>
      <w:rPr>
        <w:rFonts w:cs="Times New Roman" w:hint="default"/>
      </w:rPr>
    </w:lvl>
    <w:lvl w:ilvl="1" w:tplc="04070019">
      <w:start w:val="1"/>
      <w:numFmt w:val="lowerLetter"/>
      <w:lvlText w:val="%2."/>
      <w:lvlJc w:val="left"/>
      <w:pPr>
        <w:tabs>
          <w:tab w:val="num" w:pos="1218"/>
        </w:tabs>
        <w:ind w:left="1218" w:hanging="360"/>
      </w:pPr>
      <w:rPr>
        <w:rFonts w:cs="Times New Roman"/>
      </w:rPr>
    </w:lvl>
    <w:lvl w:ilvl="2" w:tplc="0407001B">
      <w:start w:val="1"/>
      <w:numFmt w:val="lowerRoman"/>
      <w:lvlText w:val="%3."/>
      <w:lvlJc w:val="right"/>
      <w:pPr>
        <w:tabs>
          <w:tab w:val="num" w:pos="1938"/>
        </w:tabs>
        <w:ind w:left="1938" w:hanging="180"/>
      </w:pPr>
      <w:rPr>
        <w:rFonts w:cs="Times New Roman"/>
      </w:rPr>
    </w:lvl>
    <w:lvl w:ilvl="3" w:tplc="0407000F">
      <w:start w:val="1"/>
      <w:numFmt w:val="decimal"/>
      <w:lvlText w:val="%4."/>
      <w:lvlJc w:val="left"/>
      <w:pPr>
        <w:tabs>
          <w:tab w:val="num" w:pos="2658"/>
        </w:tabs>
        <w:ind w:left="2658" w:hanging="360"/>
      </w:pPr>
      <w:rPr>
        <w:rFonts w:cs="Times New Roman"/>
      </w:rPr>
    </w:lvl>
    <w:lvl w:ilvl="4" w:tplc="04070019">
      <w:start w:val="1"/>
      <w:numFmt w:val="lowerLetter"/>
      <w:lvlText w:val="%5."/>
      <w:lvlJc w:val="left"/>
      <w:pPr>
        <w:tabs>
          <w:tab w:val="num" w:pos="3378"/>
        </w:tabs>
        <w:ind w:left="3378" w:hanging="360"/>
      </w:pPr>
      <w:rPr>
        <w:rFonts w:cs="Times New Roman"/>
      </w:rPr>
    </w:lvl>
    <w:lvl w:ilvl="5" w:tplc="0407001B">
      <w:start w:val="1"/>
      <w:numFmt w:val="lowerRoman"/>
      <w:lvlText w:val="%6."/>
      <w:lvlJc w:val="right"/>
      <w:pPr>
        <w:tabs>
          <w:tab w:val="num" w:pos="4098"/>
        </w:tabs>
        <w:ind w:left="4098" w:hanging="180"/>
      </w:pPr>
      <w:rPr>
        <w:rFonts w:cs="Times New Roman"/>
      </w:rPr>
    </w:lvl>
    <w:lvl w:ilvl="6" w:tplc="0407000F">
      <w:start w:val="1"/>
      <w:numFmt w:val="decimal"/>
      <w:lvlText w:val="%7."/>
      <w:lvlJc w:val="left"/>
      <w:pPr>
        <w:tabs>
          <w:tab w:val="num" w:pos="4818"/>
        </w:tabs>
        <w:ind w:left="4818" w:hanging="360"/>
      </w:pPr>
      <w:rPr>
        <w:rFonts w:cs="Times New Roman"/>
      </w:rPr>
    </w:lvl>
    <w:lvl w:ilvl="7" w:tplc="04070019">
      <w:start w:val="1"/>
      <w:numFmt w:val="lowerLetter"/>
      <w:lvlText w:val="%8."/>
      <w:lvlJc w:val="left"/>
      <w:pPr>
        <w:tabs>
          <w:tab w:val="num" w:pos="5538"/>
        </w:tabs>
        <w:ind w:left="5538" w:hanging="360"/>
      </w:pPr>
      <w:rPr>
        <w:rFonts w:cs="Times New Roman"/>
      </w:rPr>
    </w:lvl>
    <w:lvl w:ilvl="8" w:tplc="0407001B">
      <w:start w:val="1"/>
      <w:numFmt w:val="lowerRoman"/>
      <w:lvlText w:val="%9."/>
      <w:lvlJc w:val="right"/>
      <w:pPr>
        <w:tabs>
          <w:tab w:val="num" w:pos="6258"/>
        </w:tabs>
        <w:ind w:left="6258" w:hanging="180"/>
      </w:pPr>
      <w:rPr>
        <w:rFonts w:cs="Times New Roman"/>
      </w:rPr>
    </w:lvl>
  </w:abstractNum>
  <w:num w:numId="1" w16cid:durableId="38750047">
    <w:abstractNumId w:val="39"/>
  </w:num>
  <w:num w:numId="2" w16cid:durableId="775175195">
    <w:abstractNumId w:val="15"/>
  </w:num>
  <w:num w:numId="3" w16cid:durableId="2245280">
    <w:abstractNumId w:val="47"/>
  </w:num>
  <w:num w:numId="4" w16cid:durableId="1751345993">
    <w:abstractNumId w:val="49"/>
  </w:num>
  <w:num w:numId="5" w16cid:durableId="827406179">
    <w:abstractNumId w:val="57"/>
  </w:num>
  <w:num w:numId="6" w16cid:durableId="364061093">
    <w:abstractNumId w:val="9"/>
  </w:num>
  <w:num w:numId="7" w16cid:durableId="810437876">
    <w:abstractNumId w:val="7"/>
  </w:num>
  <w:num w:numId="8" w16cid:durableId="1128304">
    <w:abstractNumId w:val="6"/>
  </w:num>
  <w:num w:numId="9" w16cid:durableId="784227965">
    <w:abstractNumId w:val="5"/>
  </w:num>
  <w:num w:numId="10" w16cid:durableId="495078366">
    <w:abstractNumId w:val="4"/>
  </w:num>
  <w:num w:numId="11" w16cid:durableId="681320756">
    <w:abstractNumId w:val="8"/>
  </w:num>
  <w:num w:numId="12" w16cid:durableId="1068460469">
    <w:abstractNumId w:val="3"/>
  </w:num>
  <w:num w:numId="13" w16cid:durableId="639959385">
    <w:abstractNumId w:val="2"/>
  </w:num>
  <w:num w:numId="14" w16cid:durableId="6911002">
    <w:abstractNumId w:val="1"/>
  </w:num>
  <w:num w:numId="15" w16cid:durableId="1816986461">
    <w:abstractNumId w:val="0"/>
  </w:num>
  <w:num w:numId="16" w16cid:durableId="1221792073">
    <w:abstractNumId w:val="37"/>
  </w:num>
  <w:num w:numId="17" w16cid:durableId="707687252">
    <w:abstractNumId w:val="45"/>
  </w:num>
  <w:num w:numId="18" w16cid:durableId="310446229">
    <w:abstractNumId w:val="43"/>
  </w:num>
  <w:num w:numId="19" w16cid:durableId="419371848">
    <w:abstractNumId w:val="19"/>
  </w:num>
  <w:num w:numId="20" w16cid:durableId="87042595">
    <w:abstractNumId w:val="44"/>
  </w:num>
  <w:num w:numId="21" w16cid:durableId="1538542989">
    <w:abstractNumId w:val="58"/>
  </w:num>
  <w:num w:numId="22" w16cid:durableId="958147915">
    <w:abstractNumId w:val="54"/>
  </w:num>
  <w:num w:numId="23" w16cid:durableId="1808358852">
    <w:abstractNumId w:val="23"/>
  </w:num>
  <w:num w:numId="24" w16cid:durableId="1767387312">
    <w:abstractNumId w:val="42"/>
  </w:num>
  <w:num w:numId="25" w16cid:durableId="126895920">
    <w:abstractNumId w:val="21"/>
  </w:num>
  <w:num w:numId="26" w16cid:durableId="894582438">
    <w:abstractNumId w:val="26"/>
  </w:num>
  <w:num w:numId="27" w16cid:durableId="1825319392">
    <w:abstractNumId w:val="55"/>
  </w:num>
  <w:num w:numId="28" w16cid:durableId="652104331">
    <w:abstractNumId w:val="17"/>
  </w:num>
  <w:num w:numId="29" w16cid:durableId="1523588710">
    <w:abstractNumId w:val="14"/>
  </w:num>
  <w:num w:numId="30" w16cid:durableId="584805915">
    <w:abstractNumId w:val="41"/>
  </w:num>
  <w:num w:numId="31" w16cid:durableId="16346419">
    <w:abstractNumId w:val="36"/>
  </w:num>
  <w:num w:numId="32" w16cid:durableId="1098789543">
    <w:abstractNumId w:val="38"/>
  </w:num>
  <w:num w:numId="33" w16cid:durableId="2134247650">
    <w:abstractNumId w:val="29"/>
  </w:num>
  <w:num w:numId="34" w16cid:durableId="915866080">
    <w:abstractNumId w:val="60"/>
  </w:num>
  <w:num w:numId="35" w16cid:durableId="306328575">
    <w:abstractNumId w:val="30"/>
  </w:num>
  <w:num w:numId="36" w16cid:durableId="1489594465">
    <w:abstractNumId w:val="59"/>
  </w:num>
  <w:num w:numId="37" w16cid:durableId="169873660">
    <w:abstractNumId w:val="27"/>
  </w:num>
  <w:num w:numId="38" w16cid:durableId="2039431787">
    <w:abstractNumId w:val="18"/>
  </w:num>
  <w:num w:numId="39" w16cid:durableId="214201737">
    <w:abstractNumId w:val="25"/>
  </w:num>
  <w:num w:numId="40" w16cid:durableId="890001967">
    <w:abstractNumId w:val="22"/>
  </w:num>
  <w:num w:numId="41" w16cid:durableId="650476335">
    <w:abstractNumId w:val="50"/>
  </w:num>
  <w:num w:numId="42" w16cid:durableId="123744017">
    <w:abstractNumId w:val="12"/>
  </w:num>
  <w:num w:numId="43" w16cid:durableId="796413901">
    <w:abstractNumId w:val="34"/>
  </w:num>
  <w:num w:numId="44" w16cid:durableId="1448891835">
    <w:abstractNumId w:val="33"/>
  </w:num>
  <w:num w:numId="45" w16cid:durableId="86662649">
    <w:abstractNumId w:val="48"/>
  </w:num>
  <w:num w:numId="46" w16cid:durableId="67266153">
    <w:abstractNumId w:val="11"/>
  </w:num>
  <w:num w:numId="47" w16cid:durableId="1236010388">
    <w:abstractNumId w:val="35"/>
  </w:num>
  <w:num w:numId="48" w16cid:durableId="750664925">
    <w:abstractNumId w:val="24"/>
  </w:num>
  <w:num w:numId="49" w16cid:durableId="1495342467">
    <w:abstractNumId w:val="52"/>
  </w:num>
  <w:num w:numId="50" w16cid:durableId="578292741">
    <w:abstractNumId w:val="51"/>
  </w:num>
  <w:num w:numId="51" w16cid:durableId="576017854">
    <w:abstractNumId w:val="46"/>
  </w:num>
  <w:num w:numId="52" w16cid:durableId="1155685650">
    <w:abstractNumId w:val="31"/>
  </w:num>
  <w:num w:numId="53" w16cid:durableId="1886065866">
    <w:abstractNumId w:val="28"/>
  </w:num>
  <w:num w:numId="54" w16cid:durableId="1784419722">
    <w:abstractNumId w:val="20"/>
  </w:num>
  <w:num w:numId="55" w16cid:durableId="1468082287">
    <w:abstractNumId w:val="40"/>
  </w:num>
  <w:num w:numId="56" w16cid:durableId="717896389">
    <w:abstractNumId w:val="13"/>
  </w:num>
  <w:num w:numId="57" w16cid:durableId="864371180">
    <w:abstractNumId w:val="10"/>
  </w:num>
  <w:num w:numId="58" w16cid:durableId="578683363">
    <w:abstractNumId w:val="16"/>
  </w:num>
  <w:num w:numId="59" w16cid:durableId="1385955785">
    <w:abstractNumId w:val="32"/>
  </w:num>
  <w:num w:numId="60" w16cid:durableId="230624531">
    <w:abstractNumId w:val="53"/>
  </w:num>
  <w:num w:numId="61" w16cid:durableId="1201356264">
    <w:abstractNumId w:val="56"/>
    <w:lvlOverride w:ilvl="0">
      <w:lvl w:ilvl="0">
        <w:start w:val="1"/>
        <w:numFmt w:val="decimal"/>
        <w:pStyle w:val="heading1"/>
        <w:lvlText w:val="%1"/>
        <w:lvlJc w:val="left"/>
        <w:pPr>
          <w:tabs>
            <w:tab w:val="num" w:pos="567"/>
          </w:tabs>
          <w:ind w:left="567" w:hanging="567"/>
        </w:pPr>
      </w:lvl>
    </w:lvlOverride>
  </w:num>
  <w:num w:numId="62" w16cid:durableId="1275550928">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embedSystemFonts/>
  <w:proofState w:spelling="clean" w:grammar="clean"/>
  <w:defaultTabStop w:val="708"/>
  <w:hyphenationZone w:val="425"/>
  <w:doNotHyphenateCaps/>
  <w:defaultTableStyle w:val="RTe"/>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861"/>
    <w:rsid w:val="0000169D"/>
    <w:rsid w:val="00002080"/>
    <w:rsid w:val="000071DA"/>
    <w:rsid w:val="0001284A"/>
    <w:rsid w:val="000273FF"/>
    <w:rsid w:val="0002774B"/>
    <w:rsid w:val="00030654"/>
    <w:rsid w:val="00034C1A"/>
    <w:rsid w:val="00041EB7"/>
    <w:rsid w:val="00060BA1"/>
    <w:rsid w:val="000704AB"/>
    <w:rsid w:val="00074084"/>
    <w:rsid w:val="00075FD1"/>
    <w:rsid w:val="00092846"/>
    <w:rsid w:val="000C3486"/>
    <w:rsid w:val="000C4CE4"/>
    <w:rsid w:val="000C5AB4"/>
    <w:rsid w:val="000D29DA"/>
    <w:rsid w:val="000F3709"/>
    <w:rsid w:val="00131BBB"/>
    <w:rsid w:val="00145A81"/>
    <w:rsid w:val="001542FA"/>
    <w:rsid w:val="00171EBD"/>
    <w:rsid w:val="00173708"/>
    <w:rsid w:val="0018024E"/>
    <w:rsid w:val="00191F21"/>
    <w:rsid w:val="00194BDD"/>
    <w:rsid w:val="001966EC"/>
    <w:rsid w:val="001A09FD"/>
    <w:rsid w:val="001B213C"/>
    <w:rsid w:val="001B785A"/>
    <w:rsid w:val="001C066E"/>
    <w:rsid w:val="001C128E"/>
    <w:rsid w:val="001D7F10"/>
    <w:rsid w:val="001E2655"/>
    <w:rsid w:val="001E60B2"/>
    <w:rsid w:val="001F1C2E"/>
    <w:rsid w:val="001F315A"/>
    <w:rsid w:val="001F5376"/>
    <w:rsid w:val="0023783B"/>
    <w:rsid w:val="002401C3"/>
    <w:rsid w:val="00242F1D"/>
    <w:rsid w:val="0025372B"/>
    <w:rsid w:val="00257DB6"/>
    <w:rsid w:val="00265674"/>
    <w:rsid w:val="002672B8"/>
    <w:rsid w:val="00271694"/>
    <w:rsid w:val="002727F2"/>
    <w:rsid w:val="00275ACE"/>
    <w:rsid w:val="002912E0"/>
    <w:rsid w:val="00295DB6"/>
    <w:rsid w:val="002B79FC"/>
    <w:rsid w:val="002C0015"/>
    <w:rsid w:val="002C59C3"/>
    <w:rsid w:val="002D10B0"/>
    <w:rsid w:val="002D4061"/>
    <w:rsid w:val="002D5808"/>
    <w:rsid w:val="002D6F49"/>
    <w:rsid w:val="002E06D4"/>
    <w:rsid w:val="002E5C4D"/>
    <w:rsid w:val="002F0AC4"/>
    <w:rsid w:val="002F445A"/>
    <w:rsid w:val="00300622"/>
    <w:rsid w:val="0030455D"/>
    <w:rsid w:val="00306AB4"/>
    <w:rsid w:val="0031235E"/>
    <w:rsid w:val="00316D7D"/>
    <w:rsid w:val="00317C68"/>
    <w:rsid w:val="003305F0"/>
    <w:rsid w:val="003368BD"/>
    <w:rsid w:val="0034052C"/>
    <w:rsid w:val="00345161"/>
    <w:rsid w:val="00351F60"/>
    <w:rsid w:val="00363165"/>
    <w:rsid w:val="00363AEE"/>
    <w:rsid w:val="00367C2B"/>
    <w:rsid w:val="00380A3B"/>
    <w:rsid w:val="0038321E"/>
    <w:rsid w:val="00383224"/>
    <w:rsid w:val="00397872"/>
    <w:rsid w:val="003A3AA3"/>
    <w:rsid w:val="003A54DE"/>
    <w:rsid w:val="003B2AA9"/>
    <w:rsid w:val="003E1D96"/>
    <w:rsid w:val="003E5E02"/>
    <w:rsid w:val="00416D83"/>
    <w:rsid w:val="00424013"/>
    <w:rsid w:val="00433A7C"/>
    <w:rsid w:val="0046065A"/>
    <w:rsid w:val="0046119F"/>
    <w:rsid w:val="00474D89"/>
    <w:rsid w:val="00484B6E"/>
    <w:rsid w:val="00492C3B"/>
    <w:rsid w:val="004B2AFB"/>
    <w:rsid w:val="004B5578"/>
    <w:rsid w:val="004C6E55"/>
    <w:rsid w:val="004D15D8"/>
    <w:rsid w:val="004D2A84"/>
    <w:rsid w:val="004E255F"/>
    <w:rsid w:val="004F15F5"/>
    <w:rsid w:val="004F477E"/>
    <w:rsid w:val="0050217A"/>
    <w:rsid w:val="00503347"/>
    <w:rsid w:val="00503ECD"/>
    <w:rsid w:val="00506D90"/>
    <w:rsid w:val="00506F83"/>
    <w:rsid w:val="00520861"/>
    <w:rsid w:val="00556249"/>
    <w:rsid w:val="00567DB2"/>
    <w:rsid w:val="005A25F1"/>
    <w:rsid w:val="005B5627"/>
    <w:rsid w:val="005B690B"/>
    <w:rsid w:val="005C1C27"/>
    <w:rsid w:val="0060036A"/>
    <w:rsid w:val="00616C43"/>
    <w:rsid w:val="0062253D"/>
    <w:rsid w:val="00625C79"/>
    <w:rsid w:val="00634F7D"/>
    <w:rsid w:val="00637C41"/>
    <w:rsid w:val="00656A52"/>
    <w:rsid w:val="00660DD7"/>
    <w:rsid w:val="006618D1"/>
    <w:rsid w:val="006A5512"/>
    <w:rsid w:val="006C6C68"/>
    <w:rsid w:val="006D549E"/>
    <w:rsid w:val="006E34E7"/>
    <w:rsid w:val="006F3168"/>
    <w:rsid w:val="00705C24"/>
    <w:rsid w:val="00710164"/>
    <w:rsid w:val="00711AE9"/>
    <w:rsid w:val="0072574D"/>
    <w:rsid w:val="00731CA1"/>
    <w:rsid w:val="00737505"/>
    <w:rsid w:val="00742A95"/>
    <w:rsid w:val="00746032"/>
    <w:rsid w:val="00751416"/>
    <w:rsid w:val="00753FFA"/>
    <w:rsid w:val="007742E6"/>
    <w:rsid w:val="00782200"/>
    <w:rsid w:val="00791F47"/>
    <w:rsid w:val="00794EAE"/>
    <w:rsid w:val="007B6DE4"/>
    <w:rsid w:val="007C6A87"/>
    <w:rsid w:val="007F01E1"/>
    <w:rsid w:val="00816CF8"/>
    <w:rsid w:val="008258CE"/>
    <w:rsid w:val="0083028D"/>
    <w:rsid w:val="00836FCF"/>
    <w:rsid w:val="0084320E"/>
    <w:rsid w:val="0084791A"/>
    <w:rsid w:val="00865535"/>
    <w:rsid w:val="0088122D"/>
    <w:rsid w:val="00882E21"/>
    <w:rsid w:val="00884119"/>
    <w:rsid w:val="008B1180"/>
    <w:rsid w:val="008C007A"/>
    <w:rsid w:val="008C7353"/>
    <w:rsid w:val="008E202A"/>
    <w:rsid w:val="008E3A22"/>
    <w:rsid w:val="0090060D"/>
    <w:rsid w:val="00906207"/>
    <w:rsid w:val="0091553D"/>
    <w:rsid w:val="00916376"/>
    <w:rsid w:val="009247E0"/>
    <w:rsid w:val="0092652C"/>
    <w:rsid w:val="00926530"/>
    <w:rsid w:val="00926BE8"/>
    <w:rsid w:val="00942275"/>
    <w:rsid w:val="009548FA"/>
    <w:rsid w:val="00955C0A"/>
    <w:rsid w:val="009646EE"/>
    <w:rsid w:val="00970F1B"/>
    <w:rsid w:val="0097380F"/>
    <w:rsid w:val="00973A60"/>
    <w:rsid w:val="00984C64"/>
    <w:rsid w:val="009A0EB5"/>
    <w:rsid w:val="009A263D"/>
    <w:rsid w:val="009A394D"/>
    <w:rsid w:val="009A4ABA"/>
    <w:rsid w:val="009A79E5"/>
    <w:rsid w:val="009B2C4A"/>
    <w:rsid w:val="009B2FD6"/>
    <w:rsid w:val="009B727C"/>
    <w:rsid w:val="009C4211"/>
    <w:rsid w:val="009D7308"/>
    <w:rsid w:val="009F2419"/>
    <w:rsid w:val="00A04D19"/>
    <w:rsid w:val="00A06451"/>
    <w:rsid w:val="00A13721"/>
    <w:rsid w:val="00A1736D"/>
    <w:rsid w:val="00A27C85"/>
    <w:rsid w:val="00A302E2"/>
    <w:rsid w:val="00A42256"/>
    <w:rsid w:val="00A43E77"/>
    <w:rsid w:val="00A474FA"/>
    <w:rsid w:val="00A51B1C"/>
    <w:rsid w:val="00A616BB"/>
    <w:rsid w:val="00A72E13"/>
    <w:rsid w:val="00A82A63"/>
    <w:rsid w:val="00A933D4"/>
    <w:rsid w:val="00A9608F"/>
    <w:rsid w:val="00AB33BF"/>
    <w:rsid w:val="00AB6226"/>
    <w:rsid w:val="00AB75D8"/>
    <w:rsid w:val="00AD650B"/>
    <w:rsid w:val="00AE22E0"/>
    <w:rsid w:val="00AE6D8B"/>
    <w:rsid w:val="00AF25F1"/>
    <w:rsid w:val="00AF45D4"/>
    <w:rsid w:val="00B26CF6"/>
    <w:rsid w:val="00B324C8"/>
    <w:rsid w:val="00B4103A"/>
    <w:rsid w:val="00B421AF"/>
    <w:rsid w:val="00B56240"/>
    <w:rsid w:val="00B67641"/>
    <w:rsid w:val="00B82BD3"/>
    <w:rsid w:val="00B82C28"/>
    <w:rsid w:val="00B84424"/>
    <w:rsid w:val="00B9461D"/>
    <w:rsid w:val="00B95A8E"/>
    <w:rsid w:val="00BA4E8C"/>
    <w:rsid w:val="00BB4A3B"/>
    <w:rsid w:val="00BC1178"/>
    <w:rsid w:val="00BD6143"/>
    <w:rsid w:val="00BE6C6F"/>
    <w:rsid w:val="00BF1216"/>
    <w:rsid w:val="00BF3A11"/>
    <w:rsid w:val="00C02D1E"/>
    <w:rsid w:val="00C14CED"/>
    <w:rsid w:val="00C23C5E"/>
    <w:rsid w:val="00C2741C"/>
    <w:rsid w:val="00C328C3"/>
    <w:rsid w:val="00C351C0"/>
    <w:rsid w:val="00C5538B"/>
    <w:rsid w:val="00C5654A"/>
    <w:rsid w:val="00C64A97"/>
    <w:rsid w:val="00C719E7"/>
    <w:rsid w:val="00C74E42"/>
    <w:rsid w:val="00C75516"/>
    <w:rsid w:val="00C77556"/>
    <w:rsid w:val="00C80535"/>
    <w:rsid w:val="00C83A47"/>
    <w:rsid w:val="00C85C95"/>
    <w:rsid w:val="00C9319F"/>
    <w:rsid w:val="00CC06DA"/>
    <w:rsid w:val="00CD4092"/>
    <w:rsid w:val="00CE4712"/>
    <w:rsid w:val="00CF4702"/>
    <w:rsid w:val="00CF57A8"/>
    <w:rsid w:val="00CF7A4F"/>
    <w:rsid w:val="00D072E7"/>
    <w:rsid w:val="00D14C38"/>
    <w:rsid w:val="00D253A8"/>
    <w:rsid w:val="00D2798C"/>
    <w:rsid w:val="00D331CD"/>
    <w:rsid w:val="00D36C4A"/>
    <w:rsid w:val="00D50992"/>
    <w:rsid w:val="00D51B4A"/>
    <w:rsid w:val="00D61A1D"/>
    <w:rsid w:val="00D64FE4"/>
    <w:rsid w:val="00DA2F2E"/>
    <w:rsid w:val="00DA56E7"/>
    <w:rsid w:val="00DC3EF8"/>
    <w:rsid w:val="00DC7680"/>
    <w:rsid w:val="00DD6647"/>
    <w:rsid w:val="00DD742F"/>
    <w:rsid w:val="00DF239C"/>
    <w:rsid w:val="00DF6E11"/>
    <w:rsid w:val="00E00473"/>
    <w:rsid w:val="00E12011"/>
    <w:rsid w:val="00E12C77"/>
    <w:rsid w:val="00E1589B"/>
    <w:rsid w:val="00E21211"/>
    <w:rsid w:val="00E34488"/>
    <w:rsid w:val="00E55556"/>
    <w:rsid w:val="00E62A40"/>
    <w:rsid w:val="00E75A5A"/>
    <w:rsid w:val="00E93483"/>
    <w:rsid w:val="00EA7E4B"/>
    <w:rsid w:val="00EA7F1A"/>
    <w:rsid w:val="00EB1385"/>
    <w:rsid w:val="00EC0826"/>
    <w:rsid w:val="00ED08C2"/>
    <w:rsid w:val="00EE22B3"/>
    <w:rsid w:val="00EE6EEF"/>
    <w:rsid w:val="00EF14F3"/>
    <w:rsid w:val="00EF4D88"/>
    <w:rsid w:val="00EF5E08"/>
    <w:rsid w:val="00F0163B"/>
    <w:rsid w:val="00F0668A"/>
    <w:rsid w:val="00F1297A"/>
    <w:rsid w:val="00F16114"/>
    <w:rsid w:val="00F2783D"/>
    <w:rsid w:val="00F30D9E"/>
    <w:rsid w:val="00F4374A"/>
    <w:rsid w:val="00F627F2"/>
    <w:rsid w:val="00F65078"/>
    <w:rsid w:val="00F719EE"/>
    <w:rsid w:val="00F90645"/>
    <w:rsid w:val="00F9570C"/>
    <w:rsid w:val="00F95816"/>
    <w:rsid w:val="00FA15EC"/>
    <w:rsid w:val="00FB2B73"/>
    <w:rsid w:val="00FB3229"/>
    <w:rsid w:val="00FB5B64"/>
    <w:rsid w:val="00FC26C5"/>
    <w:rsid w:val="00FC5D4A"/>
    <w:rsid w:val="00FC6507"/>
    <w:rsid w:val="00FD0EB2"/>
    <w:rsid w:val="00FD2997"/>
    <w:rsid w:val="00FE27DA"/>
    <w:rsid w:val="00FE46D5"/>
    <w:rsid w:val="00FE77B7"/>
    <w:rsid w:val="00FF2C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818964"/>
  <w14:defaultImageDpi w14:val="0"/>
  <w15:docId w15:val="{D63F0310-5D58-491D-83D1-A5CE88EEF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83B"/>
    <w:pPr>
      <w:spacing w:line="276" w:lineRule="auto"/>
      <w:jc w:val="both"/>
    </w:pPr>
    <w:rPr>
      <w:sz w:val="20"/>
      <w:szCs w:val="20"/>
    </w:rPr>
  </w:style>
  <w:style w:type="paragraph" w:styleId="Heading10">
    <w:name w:val="heading 1"/>
    <w:basedOn w:val="Normal"/>
    <w:next w:val="Normal"/>
    <w:link w:val="Heading1Char"/>
    <w:uiPriority w:val="9"/>
    <w:qFormat/>
    <w:rsid w:val="00295DB6"/>
    <w:pPr>
      <w:keepNext/>
      <w:keepLines/>
      <w:spacing w:before="300" w:after="60" w:line="240" w:lineRule="auto"/>
      <w:jc w:val="left"/>
      <w:outlineLvl w:val="0"/>
    </w:pPr>
    <w:rPr>
      <w:rFonts w:asciiTheme="majorHAnsi" w:eastAsiaTheme="majorEastAsia" w:hAnsiTheme="majorHAnsi" w:cstheme="majorBidi"/>
      <w:b/>
      <w:bCs/>
      <w:color w:val="0E9A4A" w:themeColor="text2"/>
      <w:sz w:val="30"/>
      <w:szCs w:val="30"/>
    </w:rPr>
  </w:style>
  <w:style w:type="paragraph" w:styleId="Heading20">
    <w:name w:val="heading 2"/>
    <w:basedOn w:val="Normal"/>
    <w:next w:val="Normal"/>
    <w:link w:val="Heading2Char"/>
    <w:uiPriority w:val="9"/>
    <w:unhideWhenUsed/>
    <w:qFormat/>
    <w:rsid w:val="00363165"/>
    <w:pPr>
      <w:keepNext/>
      <w:keepLines/>
      <w:spacing w:before="120" w:after="60" w:line="240" w:lineRule="auto"/>
      <w:jc w:val="left"/>
      <w:outlineLvl w:val="1"/>
    </w:pPr>
    <w:rPr>
      <w:rFonts w:asciiTheme="majorHAnsi" w:eastAsiaTheme="majorEastAsia" w:hAnsiTheme="majorHAnsi" w:cstheme="majorBidi"/>
      <w:b/>
      <w:bCs/>
      <w:color w:val="000000" w:themeColor="text1"/>
      <w:sz w:val="26"/>
      <w:szCs w:val="26"/>
    </w:rPr>
  </w:style>
  <w:style w:type="paragraph" w:styleId="Heading3">
    <w:name w:val="heading 3"/>
    <w:basedOn w:val="Normal"/>
    <w:next w:val="Normal"/>
    <w:link w:val="Heading3Char"/>
    <w:uiPriority w:val="9"/>
    <w:unhideWhenUsed/>
    <w:qFormat/>
    <w:rsid w:val="0072574D"/>
    <w:pPr>
      <w:keepNext/>
      <w:keepLines/>
      <w:spacing w:before="160" w:after="60" w:line="240" w:lineRule="auto"/>
      <w:outlineLvl w:val="2"/>
    </w:pPr>
    <w:rPr>
      <w:rFonts w:asciiTheme="majorHAnsi" w:eastAsiaTheme="majorEastAsia" w:hAnsiTheme="majorHAnsi" w:cstheme="majorBidi"/>
      <w:b/>
      <w:bCs/>
      <w:color w:val="000000" w:themeColor="text1"/>
      <w:sz w:val="22"/>
      <w:szCs w:val="22"/>
    </w:rPr>
  </w:style>
  <w:style w:type="paragraph" w:styleId="Heading4">
    <w:name w:val="heading 4"/>
    <w:basedOn w:val="Normal"/>
    <w:next w:val="Normal"/>
    <w:link w:val="Heading4Char"/>
    <w:uiPriority w:val="9"/>
    <w:unhideWhenUsed/>
    <w:qFormat/>
    <w:rsid w:val="00363165"/>
    <w:pPr>
      <w:keepNext/>
      <w:keepLines/>
      <w:spacing w:before="40" w:after="0"/>
      <w:outlineLvl w:val="3"/>
    </w:pPr>
    <w:rPr>
      <w:rFonts w:asciiTheme="majorHAnsi" w:eastAsiaTheme="majorEastAsia" w:hAnsiTheme="majorHAnsi" w:cstheme="majorBidi"/>
      <w:b/>
      <w:bCs/>
      <w:color w:val="000000" w:themeColor="text1"/>
      <w:sz w:val="22"/>
      <w:szCs w:val="22"/>
    </w:rPr>
  </w:style>
  <w:style w:type="paragraph" w:styleId="Heading5">
    <w:name w:val="heading 5"/>
    <w:basedOn w:val="Normal"/>
    <w:next w:val="Normal"/>
    <w:link w:val="Heading5Char"/>
    <w:uiPriority w:val="9"/>
    <w:unhideWhenUsed/>
    <w:qFormat/>
    <w:rsid w:val="0072574D"/>
    <w:pPr>
      <w:keepNext/>
      <w:keepLines/>
      <w:spacing w:before="40" w:after="0"/>
      <w:outlineLvl w:val="4"/>
    </w:pPr>
    <w:rPr>
      <w:rFonts w:asciiTheme="majorHAnsi" w:eastAsiaTheme="majorEastAsia" w:hAnsiTheme="majorHAnsi" w:cstheme="majorBidi"/>
      <w:color w:val="000000" w:themeColor="text1"/>
      <w:sz w:val="26"/>
      <w:szCs w:val="26"/>
    </w:rPr>
  </w:style>
  <w:style w:type="paragraph" w:styleId="Heading6">
    <w:name w:val="heading 6"/>
    <w:basedOn w:val="Normal"/>
    <w:next w:val="Normal"/>
    <w:link w:val="Heading6Char"/>
    <w:uiPriority w:val="9"/>
    <w:unhideWhenUsed/>
    <w:rsid w:val="00380A3B"/>
    <w:pPr>
      <w:keepNext/>
      <w:keepLines/>
      <w:spacing w:before="40" w:after="0"/>
      <w:outlineLvl w:val="5"/>
    </w:pPr>
    <w:rPr>
      <w:rFonts w:asciiTheme="majorHAnsi" w:eastAsiaTheme="majorEastAsia" w:hAnsiTheme="majorHAnsi" w:cstheme="majorBidi"/>
      <w:i/>
      <w:iCs/>
      <w:color w:val="BD1D1D" w:themeColor="accent6" w:themeShade="80"/>
      <w:sz w:val="23"/>
      <w:szCs w:val="23"/>
    </w:rPr>
  </w:style>
  <w:style w:type="paragraph" w:styleId="Heading7">
    <w:name w:val="heading 7"/>
    <w:basedOn w:val="Normal"/>
    <w:next w:val="Normal"/>
    <w:link w:val="Heading7Char"/>
    <w:uiPriority w:val="9"/>
    <w:unhideWhenUsed/>
    <w:qFormat/>
    <w:rsid w:val="00380A3B"/>
    <w:pPr>
      <w:keepNext/>
      <w:keepLines/>
      <w:spacing w:before="40" w:after="0"/>
      <w:outlineLvl w:val="6"/>
    </w:pPr>
    <w:rPr>
      <w:rFonts w:asciiTheme="majorHAnsi" w:eastAsiaTheme="majorEastAsia" w:hAnsiTheme="majorHAnsi" w:cstheme="majorBidi"/>
      <w:color w:val="074D24" w:themeColor="accent1" w:themeShade="80"/>
    </w:rPr>
  </w:style>
  <w:style w:type="paragraph" w:styleId="Heading8">
    <w:name w:val="heading 8"/>
    <w:basedOn w:val="Normal"/>
    <w:next w:val="Normal"/>
    <w:link w:val="Heading8Char"/>
    <w:uiPriority w:val="9"/>
    <w:semiHidden/>
    <w:unhideWhenUsed/>
    <w:qFormat/>
    <w:rsid w:val="00380A3B"/>
    <w:pPr>
      <w:keepNext/>
      <w:keepLines/>
      <w:spacing w:before="40" w:after="0"/>
      <w:outlineLvl w:val="7"/>
    </w:pPr>
    <w:rPr>
      <w:rFonts w:asciiTheme="majorHAnsi" w:eastAsiaTheme="majorEastAsia" w:hAnsiTheme="majorHAnsi" w:cstheme="majorBidi"/>
      <w:color w:val="2F6646" w:themeColor="accent2" w:themeShade="80"/>
      <w:sz w:val="21"/>
      <w:szCs w:val="21"/>
    </w:rPr>
  </w:style>
  <w:style w:type="paragraph" w:styleId="Heading9">
    <w:name w:val="heading 9"/>
    <w:basedOn w:val="Normal"/>
    <w:next w:val="Normal"/>
    <w:link w:val="Heading9Char"/>
    <w:uiPriority w:val="9"/>
    <w:semiHidden/>
    <w:unhideWhenUsed/>
    <w:qFormat/>
    <w:rsid w:val="00380A3B"/>
    <w:pPr>
      <w:keepNext/>
      <w:keepLines/>
      <w:spacing w:before="40" w:after="0"/>
      <w:outlineLvl w:val="8"/>
    </w:pPr>
    <w:rPr>
      <w:rFonts w:asciiTheme="majorHAnsi" w:eastAsiaTheme="majorEastAsia" w:hAnsiTheme="majorHAnsi" w:cstheme="majorBidi"/>
      <w:color w:val="BD1D1D"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locked/>
    <w:rsid w:val="00295DB6"/>
    <w:rPr>
      <w:rFonts w:asciiTheme="majorHAnsi" w:eastAsiaTheme="majorEastAsia" w:hAnsiTheme="majorHAnsi" w:cstheme="majorBidi"/>
      <w:b/>
      <w:bCs/>
      <w:color w:val="0E9A4A" w:themeColor="text2"/>
      <w:sz w:val="30"/>
      <w:szCs w:val="30"/>
    </w:rPr>
  </w:style>
  <w:style w:type="character" w:customStyle="1" w:styleId="Heading2Char">
    <w:name w:val="Heading 2 Char"/>
    <w:basedOn w:val="DefaultParagraphFont"/>
    <w:link w:val="Heading20"/>
    <w:uiPriority w:val="9"/>
    <w:locked/>
    <w:rsid w:val="00363165"/>
    <w:rPr>
      <w:rFonts w:asciiTheme="majorHAnsi" w:eastAsiaTheme="majorEastAsia" w:hAnsiTheme="majorHAnsi" w:cstheme="majorBidi"/>
      <w:b/>
      <w:bCs/>
      <w:color w:val="000000" w:themeColor="text1"/>
      <w:sz w:val="26"/>
      <w:szCs w:val="26"/>
    </w:rPr>
  </w:style>
  <w:style w:type="character" w:customStyle="1" w:styleId="Heading3Char">
    <w:name w:val="Heading 3 Char"/>
    <w:basedOn w:val="DefaultParagraphFont"/>
    <w:link w:val="Heading3"/>
    <w:uiPriority w:val="9"/>
    <w:locked/>
    <w:rsid w:val="0072574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locked/>
    <w:rsid w:val="00363165"/>
    <w:rPr>
      <w:rFonts w:asciiTheme="majorHAnsi" w:eastAsiaTheme="majorEastAsia" w:hAnsiTheme="majorHAnsi" w:cstheme="majorBidi"/>
      <w:b/>
      <w:bCs/>
      <w:color w:val="000000" w:themeColor="text1"/>
    </w:rPr>
  </w:style>
  <w:style w:type="character" w:styleId="Strong">
    <w:name w:val="Strong"/>
    <w:basedOn w:val="DefaultParagraphFont"/>
    <w:uiPriority w:val="22"/>
    <w:qFormat/>
    <w:rsid w:val="007F01E1"/>
    <w:rPr>
      <w:b/>
      <w:bCs/>
      <w:sz w:val="20"/>
      <w:szCs w:val="20"/>
    </w:rPr>
  </w:style>
  <w:style w:type="paragraph" w:customStyle="1" w:styleId="Verfasser">
    <w:name w:val="Verfasser"/>
    <w:basedOn w:val="Normal"/>
    <w:uiPriority w:val="99"/>
    <w:rsid w:val="0023783B"/>
    <w:pPr>
      <w:spacing w:line="240" w:lineRule="auto"/>
      <w:jc w:val="center"/>
    </w:pPr>
    <w:rPr>
      <w:rFonts w:ascii="Verdana Pro Light" w:hAnsi="Verdana Pro Light"/>
    </w:rPr>
  </w:style>
  <w:style w:type="paragraph" w:customStyle="1" w:styleId="Komentar">
    <w:name w:val="Komentar"/>
    <w:basedOn w:val="Normal"/>
    <w:uiPriority w:val="99"/>
    <w:pPr>
      <w:jc w:val="right"/>
    </w:pPr>
    <w:rPr>
      <w:b/>
      <w:bCs/>
    </w:rPr>
  </w:style>
  <w:style w:type="paragraph" w:styleId="ListParagraph">
    <w:name w:val="List Paragraph"/>
    <w:basedOn w:val="Normal"/>
    <w:uiPriority w:val="34"/>
    <w:qFormat/>
    <w:rsid w:val="00FB5B64"/>
    <w:pPr>
      <w:numPr>
        <w:numId w:val="53"/>
      </w:numPr>
      <w:contextualSpacing/>
    </w:pPr>
  </w:style>
  <w:style w:type="paragraph" w:styleId="DocumentMap">
    <w:name w:val="Document Map"/>
    <w:basedOn w:val="Normal"/>
    <w:link w:val="DocumentMapChar"/>
    <w:uiPriority w:val="99"/>
    <w:semiHidden/>
    <w:pPr>
      <w:shd w:val="clear" w:color="auto" w:fill="000080"/>
    </w:pPr>
    <w:rPr>
      <w:rFonts w:ascii="Tahoma" w:hAnsi="Tahoma" w:cs="Tahoma"/>
      <w:b/>
      <w:bCs/>
      <w:color w:val="000000"/>
    </w:rPr>
  </w:style>
  <w:style w:type="character" w:customStyle="1" w:styleId="DocumentMapChar">
    <w:name w:val="Document Map Char"/>
    <w:link w:val="DocumentMap"/>
    <w:uiPriority w:val="99"/>
    <w:semiHidden/>
    <w:locked/>
    <w:rPr>
      <w:rFonts w:ascii="Segoe UI" w:hAnsi="Segoe UI" w:cs="Segoe UI"/>
      <w:sz w:val="16"/>
      <w:szCs w:val="16"/>
    </w:rPr>
  </w:style>
  <w:style w:type="paragraph" w:customStyle="1" w:styleId="Grafik">
    <w:name w:val="Grafik"/>
    <w:basedOn w:val="Normal"/>
    <w:next w:val="GrafikUnterschrift"/>
    <w:uiPriority w:val="99"/>
    <w:rsid w:val="0023783B"/>
    <w:pPr>
      <w:spacing w:before="240" w:after="60" w:line="480" w:lineRule="auto"/>
      <w:jc w:val="center"/>
    </w:pPr>
    <w:rPr>
      <w:rFonts w:ascii="Verdana Pro Light" w:hAnsi="Verdana Pro Light"/>
    </w:rPr>
  </w:style>
  <w:style w:type="paragraph" w:customStyle="1" w:styleId="GrafikUnterschrift">
    <w:name w:val="GrafikUnterschrift"/>
    <w:basedOn w:val="Grafik"/>
    <w:next w:val="Normal"/>
    <w:uiPriority w:val="99"/>
    <w:rsid w:val="0023783B"/>
    <w:pPr>
      <w:spacing w:before="0" w:after="300"/>
      <w:ind w:left="709" w:hanging="709"/>
    </w:pPr>
  </w:style>
  <w:style w:type="paragraph" w:customStyle="1" w:styleId="Zentriert">
    <w:name w:val="Zentriert"/>
    <w:basedOn w:val="Normal"/>
    <w:next w:val="Normal"/>
    <w:uiPriority w:val="99"/>
    <w:pPr>
      <w:jc w:val="center"/>
    </w:pPr>
  </w:style>
  <w:style w:type="paragraph" w:styleId="Subtitle">
    <w:name w:val="Subtitle"/>
    <w:basedOn w:val="Normal"/>
    <w:next w:val="Normal"/>
    <w:link w:val="SubtitleChar"/>
    <w:uiPriority w:val="11"/>
    <w:qFormat/>
    <w:rsid w:val="007F01E1"/>
    <w:pPr>
      <w:jc w:val="center"/>
    </w:pPr>
    <w:rPr>
      <w:rFonts w:ascii="Verdana Pro Light" w:hAnsi="Verdana Pro Light"/>
      <w:color w:val="6EBC8F" w:themeColor="accent2"/>
      <w:sz w:val="40"/>
      <w:szCs w:val="40"/>
    </w:rPr>
  </w:style>
  <w:style w:type="character" w:customStyle="1" w:styleId="SubtitleChar">
    <w:name w:val="Subtitle Char"/>
    <w:basedOn w:val="DefaultParagraphFont"/>
    <w:link w:val="Subtitle"/>
    <w:uiPriority w:val="11"/>
    <w:locked/>
    <w:rsid w:val="007F01E1"/>
    <w:rPr>
      <w:rFonts w:ascii="Verdana Pro Light" w:hAnsi="Verdana Pro Light"/>
      <w:color w:val="6EBC8F" w:themeColor="accent2"/>
      <w:sz w:val="40"/>
      <w:szCs w:val="40"/>
    </w:rPr>
  </w:style>
  <w:style w:type="character" w:styleId="UnresolvedMention">
    <w:name w:val="Unresolved Mention"/>
    <w:basedOn w:val="DefaultParagraphFont"/>
    <w:uiPriority w:val="99"/>
    <w:semiHidden/>
    <w:unhideWhenUsed/>
    <w:rsid w:val="0023783B"/>
    <w:rPr>
      <w:color w:val="605E5C"/>
      <w:shd w:val="clear" w:color="auto" w:fill="E1DFDD"/>
    </w:rPr>
  </w:style>
  <w:style w:type="character" w:styleId="FootnoteReference">
    <w:name w:val="footnote reference"/>
    <w:uiPriority w:val="99"/>
    <w:semiHidden/>
    <w:rPr>
      <w:rFonts w:cs="Times New Roman"/>
      <w:vertAlign w:val="superscript"/>
    </w:rPr>
  </w:style>
  <w:style w:type="table" w:styleId="TableGridLight">
    <w:name w:val="Grid Table Light"/>
    <w:basedOn w:val="TableNormal"/>
    <w:uiPriority w:val="40"/>
    <w:rsid w:val="0023783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pyright">
    <w:name w:val="Copyright"/>
    <w:basedOn w:val="Normal"/>
    <w:uiPriority w:val="99"/>
    <w:pPr>
      <w:spacing w:before="360" w:after="0"/>
      <w:jc w:val="center"/>
    </w:pPr>
    <w:rPr>
      <w:i/>
      <w:iCs/>
    </w:rPr>
  </w:style>
  <w:style w:type="paragraph" w:customStyle="1" w:styleId="Literaturangaben">
    <w:name w:val="Literaturangaben"/>
    <w:basedOn w:val="Normal"/>
    <w:uiPriority w:val="99"/>
    <w:rsid w:val="00B421AF"/>
    <w:pPr>
      <w:spacing w:line="240" w:lineRule="auto"/>
      <w:ind w:left="255" w:hanging="255"/>
    </w:pPr>
  </w:style>
  <w:style w:type="paragraph" w:customStyle="1" w:styleId="Trennlinie">
    <w:name w:val="Trennlinie"/>
    <w:basedOn w:val="Normal"/>
    <w:next w:val="Komentar"/>
    <w:uiPriority w:val="99"/>
    <w:rsid w:val="00503ECD"/>
    <w:pPr>
      <w:spacing w:after="0" w:line="240" w:lineRule="auto"/>
    </w:pPr>
  </w:style>
  <w:style w:type="paragraph" w:styleId="Title">
    <w:name w:val="Title"/>
    <w:basedOn w:val="Normal"/>
    <w:next w:val="Normal"/>
    <w:link w:val="TitleChar"/>
    <w:uiPriority w:val="10"/>
    <w:qFormat/>
    <w:rsid w:val="00380A3B"/>
    <w:pPr>
      <w:spacing w:after="0" w:line="240" w:lineRule="auto"/>
      <w:contextualSpacing/>
      <w:jc w:val="center"/>
    </w:pPr>
    <w:rPr>
      <w:rFonts w:asciiTheme="majorHAnsi" w:eastAsiaTheme="majorEastAsia" w:hAnsiTheme="majorHAnsi" w:cstheme="majorBidi"/>
      <w:b/>
      <w:bCs/>
      <w:color w:val="0E9A4A" w:themeColor="text2"/>
      <w:spacing w:val="-10"/>
      <w:sz w:val="40"/>
      <w:szCs w:val="40"/>
    </w:rPr>
  </w:style>
  <w:style w:type="character" w:customStyle="1" w:styleId="TitleChar">
    <w:name w:val="Title Char"/>
    <w:basedOn w:val="DefaultParagraphFont"/>
    <w:link w:val="Title"/>
    <w:uiPriority w:val="10"/>
    <w:locked/>
    <w:rsid w:val="00380A3B"/>
    <w:rPr>
      <w:rFonts w:asciiTheme="majorHAnsi" w:eastAsiaTheme="majorEastAsia" w:hAnsiTheme="majorHAnsi" w:cstheme="majorBidi"/>
      <w:b/>
      <w:bCs/>
      <w:color w:val="0E9A4A" w:themeColor="text2"/>
      <w:spacing w:val="-10"/>
      <w:sz w:val="40"/>
      <w:szCs w:val="40"/>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ascii="Segoe UI" w:hAnsi="Segoe UI" w:cs="Segoe UI"/>
      <w:sz w:val="18"/>
      <w:szCs w:val="18"/>
    </w:rPr>
  </w:style>
  <w:style w:type="paragraph" w:styleId="List">
    <w:name w:val="List"/>
    <w:basedOn w:val="Normal"/>
    <w:uiPriority w:val="99"/>
    <w:pPr>
      <w:numPr>
        <w:numId w:val="17"/>
      </w:numPr>
      <w:spacing w:after="60" w:line="240" w:lineRule="auto"/>
      <w:ind w:left="714" w:hanging="357"/>
    </w:pPr>
  </w:style>
  <w:style w:type="paragraph" w:customStyle="1" w:styleId="Liste2">
    <w:name w:val="Liste2"/>
    <w:basedOn w:val="List"/>
    <w:uiPriority w:val="99"/>
    <w:pPr>
      <w:ind w:left="1094"/>
    </w:pPr>
  </w:style>
  <w:style w:type="character" w:styleId="Hyperlink">
    <w:name w:val="Hyperlink"/>
    <w:uiPriority w:val="99"/>
    <w:qFormat/>
    <w:rsid w:val="0023783B"/>
    <w:rPr>
      <w:rFonts w:cs="Times New Roman"/>
      <w:color w:val="0E9A4A" w:themeColor="text2"/>
      <w:u w:val="single"/>
    </w:rPr>
  </w:style>
  <w:style w:type="table" w:customStyle="1" w:styleId="RTe">
    <w:name w:val="RTe"/>
    <w:basedOn w:val="TableGridLight"/>
    <w:uiPriority w:val="99"/>
    <w:rsid w:val="00FB5B64"/>
    <w:rPr>
      <w:rFonts w:ascii="Verdana Pro Light" w:hAnsi="Verdana Pro Light"/>
    </w:rPr>
    <w:tblPr/>
    <w:tblStylePr w:type="firstRow">
      <w:rPr>
        <w:rFonts w:ascii="Verdana Pro" w:hAnsi="Verdana Pro"/>
        <w:b/>
        <w:color w:val="0E9A4A" w:themeColor="text2"/>
      </w:rPr>
      <w:tblPr/>
      <w:tcPr>
        <w:shd w:val="clear" w:color="auto" w:fill="E7E6E6" w:themeFill="background2"/>
      </w:tcPr>
    </w:tblStylePr>
    <w:tblStylePr w:type="lastRow">
      <w:rPr>
        <w:rFonts w:asciiTheme="minorHAnsi" w:hAnsiTheme="minorHAnsi"/>
        <w:b/>
      </w:rPr>
    </w:tblStylePr>
    <w:tblStylePr w:type="firstCol">
      <w:rPr>
        <w:rFonts w:asciiTheme="minorHAnsi" w:hAnsiTheme="minorHAnsi"/>
        <w:b w:val="0"/>
      </w:rPr>
      <w:tblPr/>
      <w:tcPr>
        <w:shd w:val="clear" w:color="auto" w:fill="F2F2F2" w:themeFill="background1" w:themeFillShade="F2"/>
      </w:tcPr>
    </w:tblStylePr>
  </w:style>
  <w:style w:type="paragraph" w:styleId="FootnoteText">
    <w:name w:val="footnote text"/>
    <w:basedOn w:val="Normal"/>
    <w:link w:val="FootnoteTextChar"/>
    <w:uiPriority w:val="99"/>
    <w:semiHidden/>
    <w:rsid w:val="002F445A"/>
    <w:pPr>
      <w:tabs>
        <w:tab w:val="left" w:pos="284"/>
      </w:tabs>
      <w:spacing w:line="312" w:lineRule="auto"/>
      <w:ind w:left="284" w:hanging="284"/>
    </w:pPr>
    <w:rPr>
      <w:rFonts w:ascii="Verdana Pro Light" w:hAnsi="Verdana Pro Light"/>
      <w:color w:val="000000"/>
    </w:rPr>
  </w:style>
  <w:style w:type="character" w:customStyle="1" w:styleId="FootnoteTextChar">
    <w:name w:val="Footnote Text Char"/>
    <w:link w:val="FootnoteText"/>
    <w:uiPriority w:val="99"/>
    <w:semiHidden/>
    <w:locked/>
    <w:rsid w:val="002F445A"/>
    <w:rPr>
      <w:rFonts w:ascii="Verdana Pro Light" w:hAnsi="Verdana Pro Light"/>
      <w:color w:val="000000"/>
      <w:sz w:val="20"/>
      <w:szCs w:val="20"/>
    </w:rPr>
  </w:style>
  <w:style w:type="paragraph" w:customStyle="1" w:styleId="AbstractDEEN">
    <w:name w:val="AbstractDE/EN"/>
    <w:basedOn w:val="Text"/>
    <w:uiPriority w:val="99"/>
    <w:rsid w:val="00194BDD"/>
    <w:pPr>
      <w:outlineLvl w:val="1"/>
    </w:pPr>
    <w:rPr>
      <w:rFonts w:ascii="Verdana Pro Light" w:hAnsi="Verdana Pro Light"/>
      <w:color w:val="000000" w:themeColor="text1"/>
    </w:rPr>
  </w:style>
  <w:style w:type="paragraph" w:customStyle="1" w:styleId="Einleitung">
    <w:name w:val="Einleitung"/>
    <w:basedOn w:val="berschrit1"/>
    <w:qFormat/>
    <w:rsid w:val="004F477E"/>
    <w:rPr>
      <w:rFonts w:ascii="Verdana Pro Light" w:hAnsi="Verdana Pro Light"/>
    </w:rPr>
  </w:style>
  <w:style w:type="paragraph" w:styleId="Footer">
    <w:name w:val="footer"/>
    <w:basedOn w:val="Normal"/>
    <w:link w:val="FooterChar"/>
    <w:uiPriority w:val="99"/>
    <w:rsid w:val="002F445A"/>
    <w:pPr>
      <w:tabs>
        <w:tab w:val="center" w:pos="4536"/>
        <w:tab w:val="right" w:pos="9072"/>
      </w:tabs>
      <w:spacing w:after="0" w:line="240" w:lineRule="auto"/>
    </w:pPr>
    <w:rPr>
      <w:rFonts w:cs="Times"/>
      <w:sz w:val="24"/>
      <w:szCs w:val="24"/>
    </w:rPr>
  </w:style>
  <w:style w:type="character" w:customStyle="1" w:styleId="FooterChar">
    <w:name w:val="Footer Char"/>
    <w:link w:val="Footer"/>
    <w:uiPriority w:val="99"/>
    <w:locked/>
    <w:rsid w:val="002F445A"/>
    <w:rPr>
      <w:rFonts w:cs="Times"/>
      <w:sz w:val="24"/>
      <w:szCs w:val="24"/>
    </w:rPr>
  </w:style>
  <w:style w:type="table" w:styleId="TableGrid">
    <w:name w:val="Table Grid"/>
    <w:basedOn w:val="TableNormal"/>
    <w:rsid w:val="00275AC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EB1385"/>
  </w:style>
  <w:style w:type="character" w:customStyle="1" w:styleId="EndnoteTextChar">
    <w:name w:val="Endnote Text Char"/>
    <w:link w:val="EndnoteText"/>
    <w:uiPriority w:val="99"/>
    <w:semiHidden/>
    <w:locked/>
    <w:rPr>
      <w:rFonts w:ascii="Arial" w:hAnsi="Arial" w:cs="Arial"/>
      <w:sz w:val="20"/>
      <w:szCs w:val="20"/>
    </w:rPr>
  </w:style>
  <w:style w:type="character" w:styleId="EndnoteReference">
    <w:name w:val="endnote reference"/>
    <w:uiPriority w:val="99"/>
    <w:semiHidden/>
    <w:rsid w:val="00EB1385"/>
    <w:rPr>
      <w:rFonts w:cs="Times New Roman"/>
      <w:vertAlign w:val="superscript"/>
    </w:rPr>
  </w:style>
  <w:style w:type="character" w:customStyle="1" w:styleId="Hochgestellt">
    <w:name w:val="Hochgestellt"/>
    <w:uiPriority w:val="99"/>
    <w:rsid w:val="00EB1385"/>
    <w:rPr>
      <w:rFonts w:cs="Times New Roman"/>
      <w:vertAlign w:val="superscript"/>
    </w:rPr>
  </w:style>
  <w:style w:type="character" w:customStyle="1" w:styleId="Funote">
    <w:name w:val="Fußnote"/>
    <w:uiPriority w:val="99"/>
    <w:rsid w:val="000F3709"/>
    <w:rPr>
      <w:rFonts w:cs="Times New Roman"/>
      <w:b/>
      <w:bCs/>
      <w:color w:val="008000"/>
      <w:vertAlign w:val="superscript"/>
    </w:rPr>
  </w:style>
  <w:style w:type="paragraph" w:styleId="Header">
    <w:name w:val="header"/>
    <w:basedOn w:val="Normal"/>
    <w:link w:val="HeaderChar"/>
    <w:uiPriority w:val="99"/>
    <w:unhideWhenUsed/>
    <w:rsid w:val="00300622"/>
    <w:pPr>
      <w:tabs>
        <w:tab w:val="center" w:pos="4536"/>
        <w:tab w:val="right" w:pos="9072"/>
      </w:tabs>
    </w:pPr>
  </w:style>
  <w:style w:type="character" w:customStyle="1" w:styleId="HeaderChar">
    <w:name w:val="Header Char"/>
    <w:link w:val="Header"/>
    <w:uiPriority w:val="99"/>
    <w:rsid w:val="00300622"/>
    <w:rPr>
      <w:rFonts w:ascii="Arial" w:hAnsi="Arial" w:cs="Arial"/>
      <w:sz w:val="22"/>
      <w:szCs w:val="22"/>
    </w:rPr>
  </w:style>
  <w:style w:type="paragraph" w:styleId="Caption">
    <w:name w:val="caption"/>
    <w:aliases w:val="Tabellen- &amp; Bildüberschrift"/>
    <w:basedOn w:val="Bibliography"/>
    <w:next w:val="Normal"/>
    <w:link w:val="CaptionChar"/>
    <w:uiPriority w:val="35"/>
    <w:unhideWhenUsed/>
    <w:qFormat/>
    <w:rsid w:val="00AD650B"/>
    <w:pPr>
      <w:spacing w:after="240" w:line="240" w:lineRule="auto"/>
      <w:jc w:val="center"/>
    </w:pPr>
    <w:rPr>
      <w:rFonts w:ascii="Verdana Pro Light" w:hAnsi="Verdana Pro Light"/>
    </w:rPr>
  </w:style>
  <w:style w:type="paragraph" w:styleId="Bibliography">
    <w:name w:val="Bibliography"/>
    <w:basedOn w:val="Normal"/>
    <w:next w:val="Normal"/>
    <w:uiPriority w:val="37"/>
    <w:unhideWhenUsed/>
    <w:rsid w:val="007F01E1"/>
    <w:pPr>
      <w:spacing w:after="0" w:line="300" w:lineRule="auto"/>
    </w:pPr>
    <w:rPr>
      <w:rFonts w:eastAsia="SimSun" w:cs="Times New Roman"/>
      <w:lang w:eastAsia="en-US"/>
    </w:rPr>
  </w:style>
  <w:style w:type="paragraph" w:customStyle="1" w:styleId="berschrit1">
    <w:name w:val="Überschrit 1"/>
    <w:basedOn w:val="berschrift"/>
    <w:rsid w:val="00295DB6"/>
  </w:style>
  <w:style w:type="paragraph" w:customStyle="1" w:styleId="Text">
    <w:name w:val="Text"/>
    <w:basedOn w:val="Normal"/>
    <w:link w:val="TextZchn"/>
    <w:rsid w:val="00380A3B"/>
    <w:rPr>
      <w:rFonts w:ascii="Verdana Pro" w:hAnsi="Verdana Pro" w:cs="Calibri"/>
      <w:lang w:val="en-GB"/>
    </w:rPr>
  </w:style>
  <w:style w:type="paragraph" w:customStyle="1" w:styleId="Bild-Tabellenberschrift">
    <w:name w:val="Bild- &amp; Tabellenüberschrift"/>
    <w:basedOn w:val="Caption"/>
    <w:link w:val="Bild-TabellenberschriftZchn"/>
    <w:rsid w:val="0023783B"/>
    <w:pPr>
      <w:keepNext/>
      <w:spacing w:line="480" w:lineRule="auto"/>
    </w:pPr>
    <w:rPr>
      <w:rFonts w:cs="Calibri"/>
    </w:rPr>
  </w:style>
  <w:style w:type="character" w:customStyle="1" w:styleId="TextZchn">
    <w:name w:val="Text Zchn"/>
    <w:basedOn w:val="DefaultParagraphFont"/>
    <w:link w:val="Text"/>
    <w:rsid w:val="00380A3B"/>
    <w:rPr>
      <w:rFonts w:ascii="Verdana Pro" w:hAnsi="Verdana Pro" w:cs="Calibri"/>
      <w:sz w:val="20"/>
      <w:szCs w:val="20"/>
      <w:lang w:val="en-GB"/>
    </w:rPr>
  </w:style>
  <w:style w:type="character" w:customStyle="1" w:styleId="Heading5Char">
    <w:name w:val="Heading 5 Char"/>
    <w:basedOn w:val="DefaultParagraphFont"/>
    <w:link w:val="Heading5"/>
    <w:uiPriority w:val="9"/>
    <w:rsid w:val="0072574D"/>
    <w:rPr>
      <w:rFonts w:asciiTheme="majorHAnsi" w:eastAsiaTheme="majorEastAsia" w:hAnsiTheme="majorHAnsi" w:cstheme="majorBidi"/>
      <w:color w:val="000000" w:themeColor="text1"/>
      <w:sz w:val="26"/>
      <w:szCs w:val="26"/>
    </w:rPr>
  </w:style>
  <w:style w:type="character" w:customStyle="1" w:styleId="CaptionChar">
    <w:name w:val="Caption Char"/>
    <w:aliases w:val="Tabellen- &amp; Bildüberschrift Char"/>
    <w:basedOn w:val="DefaultParagraphFont"/>
    <w:link w:val="Caption"/>
    <w:uiPriority w:val="35"/>
    <w:rsid w:val="00AD650B"/>
    <w:rPr>
      <w:rFonts w:ascii="Verdana Pro Light" w:eastAsia="SimSun" w:hAnsi="Verdana Pro Light" w:cs="Times New Roman"/>
      <w:sz w:val="20"/>
      <w:szCs w:val="20"/>
      <w:lang w:eastAsia="en-US"/>
    </w:rPr>
  </w:style>
  <w:style w:type="character" w:customStyle="1" w:styleId="Bild-TabellenberschriftZchn">
    <w:name w:val="Bild- &amp; Tabellenüberschrift Zchn"/>
    <w:basedOn w:val="CaptionChar"/>
    <w:link w:val="Bild-Tabellenberschrift"/>
    <w:rsid w:val="0023783B"/>
    <w:rPr>
      <w:rFonts w:ascii="Verdana Pro Light" w:eastAsia="SimSun" w:hAnsi="Verdana Pro Light" w:cs="Calibri"/>
      <w:sz w:val="20"/>
      <w:szCs w:val="20"/>
      <w:lang w:eastAsia="en-US"/>
    </w:rPr>
  </w:style>
  <w:style w:type="character" w:customStyle="1" w:styleId="Heading6Char">
    <w:name w:val="Heading 6 Char"/>
    <w:basedOn w:val="DefaultParagraphFont"/>
    <w:link w:val="Heading6"/>
    <w:uiPriority w:val="9"/>
    <w:rsid w:val="00380A3B"/>
    <w:rPr>
      <w:rFonts w:asciiTheme="majorHAnsi" w:eastAsiaTheme="majorEastAsia" w:hAnsiTheme="majorHAnsi" w:cstheme="majorBidi"/>
      <w:i/>
      <w:iCs/>
      <w:color w:val="BD1D1D" w:themeColor="accent6" w:themeShade="80"/>
      <w:sz w:val="23"/>
      <w:szCs w:val="23"/>
    </w:rPr>
  </w:style>
  <w:style w:type="character" w:customStyle="1" w:styleId="Heading7Char">
    <w:name w:val="Heading 7 Char"/>
    <w:basedOn w:val="DefaultParagraphFont"/>
    <w:link w:val="Heading7"/>
    <w:uiPriority w:val="9"/>
    <w:rsid w:val="00380A3B"/>
    <w:rPr>
      <w:rFonts w:asciiTheme="majorHAnsi" w:eastAsiaTheme="majorEastAsia" w:hAnsiTheme="majorHAnsi" w:cstheme="majorBidi"/>
      <w:color w:val="074D24" w:themeColor="accent1" w:themeShade="80"/>
    </w:rPr>
  </w:style>
  <w:style w:type="character" w:customStyle="1" w:styleId="Heading8Char">
    <w:name w:val="Heading 8 Char"/>
    <w:basedOn w:val="DefaultParagraphFont"/>
    <w:link w:val="Heading8"/>
    <w:uiPriority w:val="9"/>
    <w:semiHidden/>
    <w:rsid w:val="00380A3B"/>
    <w:rPr>
      <w:rFonts w:asciiTheme="majorHAnsi" w:eastAsiaTheme="majorEastAsia" w:hAnsiTheme="majorHAnsi" w:cstheme="majorBidi"/>
      <w:color w:val="2F6646" w:themeColor="accent2" w:themeShade="80"/>
      <w:sz w:val="21"/>
      <w:szCs w:val="21"/>
    </w:rPr>
  </w:style>
  <w:style w:type="character" w:customStyle="1" w:styleId="Heading9Char">
    <w:name w:val="Heading 9 Char"/>
    <w:basedOn w:val="DefaultParagraphFont"/>
    <w:link w:val="Heading9"/>
    <w:uiPriority w:val="9"/>
    <w:semiHidden/>
    <w:rsid w:val="00380A3B"/>
    <w:rPr>
      <w:rFonts w:asciiTheme="majorHAnsi" w:eastAsiaTheme="majorEastAsia" w:hAnsiTheme="majorHAnsi" w:cstheme="majorBidi"/>
      <w:color w:val="BD1D1D" w:themeColor="accent6" w:themeShade="80"/>
    </w:rPr>
  </w:style>
  <w:style w:type="paragraph" w:customStyle="1" w:styleId="berschrift">
    <w:name w:val="Überschrift"/>
    <w:basedOn w:val="Text"/>
    <w:link w:val="berschriftZchn"/>
    <w:rsid w:val="00295DB6"/>
    <w:pPr>
      <w:spacing w:before="300" w:after="60"/>
    </w:pPr>
    <w:rPr>
      <w:b/>
      <w:bCs/>
      <w:color w:val="0E9A4A" w:themeColor="text2"/>
      <w:sz w:val="30"/>
      <w:szCs w:val="30"/>
    </w:rPr>
  </w:style>
  <w:style w:type="character" w:customStyle="1" w:styleId="berschriftZchn">
    <w:name w:val="Überschrift Zchn"/>
    <w:basedOn w:val="Heading1Char"/>
    <w:link w:val="berschrift"/>
    <w:rsid w:val="00295DB6"/>
    <w:rPr>
      <w:rFonts w:ascii="Verdana Pro" w:eastAsiaTheme="majorEastAsia" w:hAnsi="Verdana Pro" w:cs="Calibri"/>
      <w:b/>
      <w:bCs/>
      <w:color w:val="0E9A4A" w:themeColor="text2"/>
      <w:sz w:val="30"/>
      <w:szCs w:val="30"/>
      <w:lang w:val="en-GB"/>
    </w:rPr>
  </w:style>
  <w:style w:type="character" w:styleId="Emphasis">
    <w:name w:val="Emphasis"/>
    <w:basedOn w:val="DefaultParagraphFont"/>
    <w:uiPriority w:val="20"/>
    <w:qFormat/>
    <w:rsid w:val="007F01E1"/>
    <w:rPr>
      <w:b/>
      <w:bCs/>
      <w:sz w:val="20"/>
      <w:szCs w:val="20"/>
    </w:rPr>
  </w:style>
  <w:style w:type="paragraph" w:styleId="Quote">
    <w:name w:val="Quote"/>
    <w:basedOn w:val="Normal"/>
    <w:next w:val="Normal"/>
    <w:link w:val="QuoteChar"/>
    <w:uiPriority w:val="29"/>
    <w:qFormat/>
    <w:rsid w:val="007F01E1"/>
    <w:rPr>
      <w:i/>
      <w:iCs/>
    </w:rPr>
  </w:style>
  <w:style w:type="character" w:customStyle="1" w:styleId="QuoteChar">
    <w:name w:val="Quote Char"/>
    <w:basedOn w:val="DefaultParagraphFont"/>
    <w:link w:val="Quote"/>
    <w:uiPriority w:val="29"/>
    <w:rsid w:val="007F01E1"/>
    <w:rPr>
      <w:i/>
      <w:iCs/>
      <w:sz w:val="20"/>
      <w:szCs w:val="20"/>
    </w:rPr>
  </w:style>
  <w:style w:type="paragraph" w:styleId="IntenseQuote">
    <w:name w:val="Intense Quote"/>
    <w:basedOn w:val="Normal"/>
    <w:next w:val="Normal"/>
    <w:link w:val="IntenseQuoteChar"/>
    <w:uiPriority w:val="30"/>
    <w:qFormat/>
    <w:rsid w:val="00380A3B"/>
    <w:pPr>
      <w:spacing w:before="120" w:line="300" w:lineRule="auto"/>
      <w:ind w:left="576" w:right="576"/>
      <w:jc w:val="center"/>
    </w:pPr>
    <w:rPr>
      <w:rFonts w:asciiTheme="majorHAnsi" w:eastAsiaTheme="majorEastAsia" w:hAnsiTheme="majorHAnsi" w:cstheme="majorBidi"/>
      <w:color w:val="0E9A4A" w:themeColor="accent1"/>
      <w:sz w:val="24"/>
      <w:szCs w:val="24"/>
    </w:rPr>
  </w:style>
  <w:style w:type="character" w:customStyle="1" w:styleId="IntenseQuoteChar">
    <w:name w:val="Intense Quote Char"/>
    <w:basedOn w:val="DefaultParagraphFont"/>
    <w:link w:val="IntenseQuote"/>
    <w:uiPriority w:val="30"/>
    <w:rsid w:val="00380A3B"/>
    <w:rPr>
      <w:rFonts w:asciiTheme="majorHAnsi" w:eastAsiaTheme="majorEastAsia" w:hAnsiTheme="majorHAnsi" w:cstheme="majorBidi"/>
      <w:color w:val="0E9A4A" w:themeColor="accent1"/>
      <w:sz w:val="24"/>
      <w:szCs w:val="24"/>
    </w:rPr>
  </w:style>
  <w:style w:type="character" w:styleId="SubtleEmphasis">
    <w:name w:val="Subtle Emphasis"/>
    <w:basedOn w:val="DefaultParagraphFont"/>
    <w:uiPriority w:val="19"/>
    <w:qFormat/>
    <w:rsid w:val="007F01E1"/>
    <w:rPr>
      <w:i/>
      <w:iCs/>
      <w:color w:val="404040" w:themeColor="text1" w:themeTint="BF"/>
      <w:sz w:val="20"/>
      <w:szCs w:val="20"/>
    </w:rPr>
  </w:style>
  <w:style w:type="character" w:styleId="IntenseEmphasis">
    <w:name w:val="Intense Emphasis"/>
    <w:basedOn w:val="DefaultParagraphFont"/>
    <w:uiPriority w:val="21"/>
    <w:qFormat/>
    <w:rsid w:val="007F01E1"/>
    <w:rPr>
      <w:b/>
      <w:bCs/>
      <w:color w:val="0E9A4A" w:themeColor="accent1"/>
      <w:sz w:val="20"/>
      <w:szCs w:val="20"/>
    </w:rPr>
  </w:style>
  <w:style w:type="character" w:styleId="SubtleReference">
    <w:name w:val="Subtle Reference"/>
    <w:basedOn w:val="DefaultParagraphFont"/>
    <w:uiPriority w:val="31"/>
    <w:qFormat/>
    <w:rsid w:val="007F01E1"/>
    <w:rPr>
      <w:rFonts w:asciiTheme="minorHAnsi" w:hAnsiTheme="minorHAnsi"/>
      <w:smallCaps/>
      <w:color w:val="404040" w:themeColor="text1" w:themeTint="BF"/>
      <w:u w:val="single" w:color="7F7F7F" w:themeColor="text1" w:themeTint="80"/>
    </w:rPr>
  </w:style>
  <w:style w:type="character" w:styleId="IntenseReference">
    <w:name w:val="Intense Reference"/>
    <w:basedOn w:val="DefaultParagraphFont"/>
    <w:uiPriority w:val="32"/>
    <w:qFormat/>
    <w:rsid w:val="007F01E1"/>
    <w:rPr>
      <w:rFonts w:asciiTheme="minorHAnsi" w:hAnsiTheme="minorHAnsi"/>
      <w:b/>
      <w:bCs/>
      <w:smallCaps/>
      <w:color w:val="0E9A4A" w:themeColor="accent1"/>
      <w:spacing w:val="5"/>
      <w:u w:val="single"/>
    </w:rPr>
  </w:style>
  <w:style w:type="character" w:styleId="BookTitle">
    <w:name w:val="Book Title"/>
    <w:basedOn w:val="DefaultParagraphFont"/>
    <w:uiPriority w:val="33"/>
    <w:qFormat/>
    <w:rsid w:val="007F01E1"/>
    <w:rPr>
      <w:rFonts w:asciiTheme="minorHAnsi" w:hAnsiTheme="minorHAnsi"/>
      <w:b/>
      <w:bCs/>
      <w:smallCaps/>
    </w:rPr>
  </w:style>
  <w:style w:type="paragraph" w:styleId="TOCHeading">
    <w:name w:val="TOC Heading"/>
    <w:basedOn w:val="Heading10"/>
    <w:next w:val="Normal"/>
    <w:uiPriority w:val="39"/>
    <w:semiHidden/>
    <w:unhideWhenUsed/>
    <w:qFormat/>
    <w:rsid w:val="00380A3B"/>
    <w:pPr>
      <w:outlineLvl w:val="9"/>
    </w:pPr>
  </w:style>
  <w:style w:type="paragraph" w:customStyle="1" w:styleId="figurecaption">
    <w:name w:val="figurecaption"/>
    <w:basedOn w:val="Normal"/>
    <w:next w:val="Normal"/>
    <w:rsid w:val="00B95A8E"/>
    <w:pPr>
      <w:keepLines/>
      <w:overflowPunct w:val="0"/>
      <w:autoSpaceDE w:val="0"/>
      <w:autoSpaceDN w:val="0"/>
      <w:adjustRightInd w:val="0"/>
      <w:spacing w:before="120" w:after="240" w:line="220" w:lineRule="atLeast"/>
      <w:jc w:val="center"/>
      <w:textAlignment w:val="baseline"/>
    </w:pPr>
    <w:rPr>
      <w:rFonts w:ascii="Times New Roman" w:eastAsia="Times New Roman" w:hAnsi="Times New Roman" w:cs="Times New Roman"/>
      <w:sz w:val="18"/>
      <w:lang w:val="en-US" w:eastAsia="en-US"/>
    </w:rPr>
  </w:style>
  <w:style w:type="paragraph" w:customStyle="1" w:styleId="heading1">
    <w:name w:val="heading1"/>
    <w:basedOn w:val="Normal"/>
    <w:next w:val="p1a"/>
    <w:qFormat/>
    <w:rsid w:val="00B95A8E"/>
    <w:pPr>
      <w:keepNext/>
      <w:keepLines/>
      <w:numPr>
        <w:numId w:val="61"/>
      </w:numPr>
      <w:suppressAutoHyphens/>
      <w:overflowPunct w:val="0"/>
      <w:autoSpaceDE w:val="0"/>
      <w:autoSpaceDN w:val="0"/>
      <w:adjustRightInd w:val="0"/>
      <w:spacing w:before="360" w:after="240" w:line="300" w:lineRule="atLeast"/>
      <w:jc w:val="left"/>
      <w:textAlignment w:val="baseline"/>
      <w:outlineLvl w:val="0"/>
    </w:pPr>
    <w:rPr>
      <w:rFonts w:ascii="Times New Roman" w:eastAsia="Times New Roman" w:hAnsi="Times New Roman" w:cs="Times New Roman"/>
      <w:b/>
      <w:sz w:val="24"/>
      <w:lang w:val="en-US" w:eastAsia="en-US"/>
    </w:rPr>
  </w:style>
  <w:style w:type="paragraph" w:customStyle="1" w:styleId="heading2">
    <w:name w:val="heading2"/>
    <w:basedOn w:val="Normal"/>
    <w:next w:val="p1a"/>
    <w:qFormat/>
    <w:rsid w:val="00B95A8E"/>
    <w:pPr>
      <w:keepNext/>
      <w:keepLines/>
      <w:numPr>
        <w:ilvl w:val="1"/>
        <w:numId w:val="61"/>
      </w:numPr>
      <w:suppressAutoHyphens/>
      <w:overflowPunct w:val="0"/>
      <w:autoSpaceDE w:val="0"/>
      <w:autoSpaceDN w:val="0"/>
      <w:adjustRightInd w:val="0"/>
      <w:spacing w:before="360" w:line="240" w:lineRule="atLeast"/>
      <w:jc w:val="left"/>
      <w:textAlignment w:val="baseline"/>
      <w:outlineLvl w:val="1"/>
    </w:pPr>
    <w:rPr>
      <w:rFonts w:ascii="Times New Roman" w:eastAsia="Times New Roman" w:hAnsi="Times New Roman" w:cs="Times New Roman"/>
      <w:b/>
      <w:lang w:val="en-US" w:eastAsia="en-US"/>
    </w:rPr>
  </w:style>
  <w:style w:type="numbering" w:customStyle="1" w:styleId="headings">
    <w:name w:val="headings"/>
    <w:basedOn w:val="NoList"/>
    <w:rsid w:val="00B95A8E"/>
    <w:pPr>
      <w:numPr>
        <w:numId w:val="62"/>
      </w:numPr>
    </w:pPr>
  </w:style>
  <w:style w:type="paragraph" w:customStyle="1" w:styleId="p1a">
    <w:name w:val="p1a"/>
    <w:basedOn w:val="Normal"/>
    <w:next w:val="Normal"/>
    <w:rsid w:val="00B95A8E"/>
    <w:pPr>
      <w:overflowPunct w:val="0"/>
      <w:autoSpaceDE w:val="0"/>
      <w:autoSpaceDN w:val="0"/>
      <w:adjustRightInd w:val="0"/>
      <w:spacing w:after="0" w:line="240" w:lineRule="atLeast"/>
      <w:textAlignment w:val="baseline"/>
    </w:pPr>
    <w:rPr>
      <w:rFonts w:ascii="Times New Roman" w:eastAsia="Times New Roman" w:hAnsi="Times New Roman" w:cs="Times New Roman"/>
      <w:lang w:val="en-US" w:eastAsia="en-US"/>
    </w:rPr>
  </w:style>
  <w:style w:type="paragraph" w:customStyle="1" w:styleId="tablecaption">
    <w:name w:val="tablecaption"/>
    <w:basedOn w:val="Normal"/>
    <w:next w:val="Normal"/>
    <w:rsid w:val="00B95A8E"/>
    <w:pPr>
      <w:keepNext/>
      <w:keepLines/>
      <w:overflowPunct w:val="0"/>
      <w:autoSpaceDE w:val="0"/>
      <w:autoSpaceDN w:val="0"/>
      <w:adjustRightInd w:val="0"/>
      <w:spacing w:before="240" w:after="120" w:line="220" w:lineRule="atLeast"/>
      <w:jc w:val="center"/>
      <w:textAlignment w:val="baseline"/>
    </w:pPr>
    <w:rPr>
      <w:rFonts w:ascii="Times New Roman" w:eastAsia="Times New Roman" w:hAnsi="Times New Roman" w:cs="Times New Roman"/>
      <w:sz w:val="18"/>
      <w:lang w:val="en-US" w:eastAsia="en-US"/>
    </w:rPr>
  </w:style>
  <w:style w:type="table" w:styleId="PlainTable1">
    <w:name w:val="Plain Table 1"/>
    <w:basedOn w:val="TableNormal"/>
    <w:uiPriority w:val="41"/>
    <w:rsid w:val="00EE22B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52005">
      <w:marLeft w:val="0"/>
      <w:marRight w:val="0"/>
      <w:marTop w:val="0"/>
      <w:marBottom w:val="0"/>
      <w:divBdr>
        <w:top w:val="none" w:sz="0" w:space="0" w:color="auto"/>
        <w:left w:val="none" w:sz="0" w:space="0" w:color="auto"/>
        <w:bottom w:val="none" w:sz="0" w:space="0" w:color="auto"/>
        <w:right w:val="none" w:sz="0" w:space="0" w:color="auto"/>
      </w:divBdr>
    </w:div>
    <w:div w:id="1103652006">
      <w:marLeft w:val="0"/>
      <w:marRight w:val="0"/>
      <w:marTop w:val="0"/>
      <w:marBottom w:val="0"/>
      <w:divBdr>
        <w:top w:val="none" w:sz="0" w:space="0" w:color="auto"/>
        <w:left w:val="none" w:sz="0" w:space="0" w:color="auto"/>
        <w:bottom w:val="none" w:sz="0" w:space="0" w:color="auto"/>
        <w:right w:val="none" w:sz="0" w:space="0" w:color="auto"/>
      </w:divBdr>
    </w:div>
    <w:div w:id="1103652007">
      <w:marLeft w:val="0"/>
      <w:marRight w:val="0"/>
      <w:marTop w:val="0"/>
      <w:marBottom w:val="0"/>
      <w:divBdr>
        <w:top w:val="none" w:sz="0" w:space="0" w:color="auto"/>
        <w:left w:val="none" w:sz="0" w:space="0" w:color="auto"/>
        <w:bottom w:val="none" w:sz="0" w:space="0" w:color="auto"/>
        <w:right w:val="none" w:sz="0" w:space="0" w:color="auto"/>
      </w:divBdr>
    </w:div>
    <w:div w:id="1103652008">
      <w:marLeft w:val="0"/>
      <w:marRight w:val="0"/>
      <w:marTop w:val="0"/>
      <w:marBottom w:val="0"/>
      <w:divBdr>
        <w:top w:val="none" w:sz="0" w:space="0" w:color="auto"/>
        <w:left w:val="none" w:sz="0" w:space="0" w:color="auto"/>
        <w:bottom w:val="none" w:sz="0" w:space="0" w:color="auto"/>
        <w:right w:val="none" w:sz="0" w:space="0" w:color="auto"/>
      </w:divBdr>
    </w:div>
    <w:div w:id="1103652009">
      <w:marLeft w:val="0"/>
      <w:marRight w:val="0"/>
      <w:marTop w:val="0"/>
      <w:marBottom w:val="0"/>
      <w:divBdr>
        <w:top w:val="none" w:sz="0" w:space="0" w:color="auto"/>
        <w:left w:val="none" w:sz="0" w:space="0" w:color="auto"/>
        <w:bottom w:val="none" w:sz="0" w:space="0" w:color="auto"/>
        <w:right w:val="none" w:sz="0" w:space="0" w:color="auto"/>
      </w:divBdr>
    </w:div>
    <w:div w:id="1103652010">
      <w:marLeft w:val="0"/>
      <w:marRight w:val="0"/>
      <w:marTop w:val="0"/>
      <w:marBottom w:val="0"/>
      <w:divBdr>
        <w:top w:val="none" w:sz="0" w:space="0" w:color="auto"/>
        <w:left w:val="none" w:sz="0" w:space="0" w:color="auto"/>
        <w:bottom w:val="none" w:sz="0" w:space="0" w:color="auto"/>
        <w:right w:val="none" w:sz="0" w:space="0" w:color="auto"/>
      </w:divBdr>
    </w:div>
    <w:div w:id="1103652011">
      <w:marLeft w:val="0"/>
      <w:marRight w:val="0"/>
      <w:marTop w:val="0"/>
      <w:marBottom w:val="0"/>
      <w:divBdr>
        <w:top w:val="none" w:sz="0" w:space="0" w:color="auto"/>
        <w:left w:val="none" w:sz="0" w:space="0" w:color="auto"/>
        <w:bottom w:val="none" w:sz="0" w:space="0" w:color="auto"/>
        <w:right w:val="none" w:sz="0" w:space="0" w:color="auto"/>
      </w:divBdr>
    </w:div>
    <w:div w:id="1103652012">
      <w:marLeft w:val="0"/>
      <w:marRight w:val="0"/>
      <w:marTop w:val="0"/>
      <w:marBottom w:val="0"/>
      <w:divBdr>
        <w:top w:val="none" w:sz="0" w:space="0" w:color="auto"/>
        <w:left w:val="none" w:sz="0" w:space="0" w:color="auto"/>
        <w:bottom w:val="none" w:sz="0" w:space="0" w:color="auto"/>
        <w:right w:val="none" w:sz="0" w:space="0" w:color="auto"/>
      </w:divBdr>
    </w:div>
    <w:div w:id="1103652013">
      <w:marLeft w:val="0"/>
      <w:marRight w:val="0"/>
      <w:marTop w:val="0"/>
      <w:marBottom w:val="0"/>
      <w:divBdr>
        <w:top w:val="none" w:sz="0" w:space="0" w:color="auto"/>
        <w:left w:val="none" w:sz="0" w:space="0" w:color="auto"/>
        <w:bottom w:val="none" w:sz="0" w:space="0" w:color="auto"/>
        <w:right w:val="none" w:sz="0" w:space="0" w:color="auto"/>
      </w:divBdr>
    </w:div>
    <w:div w:id="1103652014">
      <w:marLeft w:val="0"/>
      <w:marRight w:val="0"/>
      <w:marTop w:val="0"/>
      <w:marBottom w:val="0"/>
      <w:divBdr>
        <w:top w:val="none" w:sz="0" w:space="0" w:color="auto"/>
        <w:left w:val="none" w:sz="0" w:space="0" w:color="auto"/>
        <w:bottom w:val="none" w:sz="0" w:space="0" w:color="auto"/>
        <w:right w:val="none" w:sz="0" w:space="0" w:color="auto"/>
      </w:divBdr>
    </w:div>
    <w:div w:id="1103652015">
      <w:marLeft w:val="0"/>
      <w:marRight w:val="0"/>
      <w:marTop w:val="0"/>
      <w:marBottom w:val="0"/>
      <w:divBdr>
        <w:top w:val="none" w:sz="0" w:space="0" w:color="auto"/>
        <w:left w:val="none" w:sz="0" w:space="0" w:color="auto"/>
        <w:bottom w:val="none" w:sz="0" w:space="0" w:color="auto"/>
        <w:right w:val="none" w:sz="0" w:space="0" w:color="auto"/>
      </w:divBdr>
    </w:div>
    <w:div w:id="1103652016">
      <w:marLeft w:val="0"/>
      <w:marRight w:val="0"/>
      <w:marTop w:val="0"/>
      <w:marBottom w:val="0"/>
      <w:divBdr>
        <w:top w:val="none" w:sz="0" w:space="0" w:color="auto"/>
        <w:left w:val="none" w:sz="0" w:space="0" w:color="auto"/>
        <w:bottom w:val="none" w:sz="0" w:space="0" w:color="auto"/>
        <w:right w:val="none" w:sz="0" w:space="0" w:color="auto"/>
      </w:divBdr>
    </w:div>
    <w:div w:id="1103652017">
      <w:marLeft w:val="0"/>
      <w:marRight w:val="0"/>
      <w:marTop w:val="0"/>
      <w:marBottom w:val="0"/>
      <w:divBdr>
        <w:top w:val="none" w:sz="0" w:space="0" w:color="auto"/>
        <w:left w:val="none" w:sz="0" w:space="0" w:color="auto"/>
        <w:bottom w:val="none" w:sz="0" w:space="0" w:color="auto"/>
        <w:right w:val="none" w:sz="0" w:space="0" w:color="auto"/>
      </w:divBdr>
    </w:div>
    <w:div w:id="11036520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eg"/><Relationship Id="rId32" Type="http://schemas.openxmlformats.org/officeDocument/2006/relationships/hyperlink" Target="mailto:ottavia.aleo@tum.de" TargetMode="Externa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ntTable" Target="fontTable.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Theme">
  <a:themeElements>
    <a:clrScheme name="RTe">
      <a:dk1>
        <a:sysClr val="windowText" lastClr="000000"/>
      </a:dk1>
      <a:lt1>
        <a:sysClr val="window" lastClr="FFFFFF"/>
      </a:lt1>
      <a:dk2>
        <a:srgbClr val="0E9A4A"/>
      </a:dk2>
      <a:lt2>
        <a:srgbClr val="E7E6E6"/>
      </a:lt2>
      <a:accent1>
        <a:srgbClr val="0E9A4A"/>
      </a:accent1>
      <a:accent2>
        <a:srgbClr val="6EBC8F"/>
      </a:accent2>
      <a:accent3>
        <a:srgbClr val="A9D1BA"/>
      </a:accent3>
      <a:accent4>
        <a:srgbClr val="EC2122"/>
      </a:accent4>
      <a:accent5>
        <a:srgbClr val="F48A8A"/>
      </a:accent5>
      <a:accent6>
        <a:srgbClr val="F5BFBF"/>
      </a:accent6>
      <a:hlink>
        <a:srgbClr val="0E9A4A"/>
      </a:hlink>
      <a:folHlink>
        <a:srgbClr val="0E9A4A"/>
      </a:folHlink>
    </a:clrScheme>
    <a:fontScheme name="RTe">
      <a:majorFont>
        <a:latin typeface="Verdana Pro"/>
        <a:ea typeface=""/>
        <a:cs typeface=""/>
      </a:majorFont>
      <a:minorFont>
        <a:latin typeface="Verdana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7AD2649-7513-4481-9B95-44F3EEE1D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7294</Words>
  <Characters>47564</Characters>
  <Application>Microsoft Office Word</Application>
  <DocSecurity>0</DocSecurity>
  <Lines>970</Lines>
  <Paragraphs>431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Lamellenwerkzeuge mit konturfolgender Kühlung für Spritzguss- und Schäumwerkzeuge</vt:lpstr>
      <vt:lpstr>Lamellenwerkzeuge mit konturfolgender Kühlung für Spritzguss- und Schäumwerkzeuge</vt:lpstr>
    </vt:vector>
  </TitlesOfParts>
  <Company>FH-Aachen</Company>
  <LinksUpToDate>false</LinksUpToDate>
  <CharactersWithSpaces>54427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Lamellenwerkzeuge mit konturfolgender Kühlung für Spritzguss- und Schäumwerkzeuge</dc:title>
  <dc:subject/>
  <dc:creator>gier</dc:creator>
  <cp:keywords/>
  <dc:description/>
  <cp:lastModifiedBy>Ottavia Aleo</cp:lastModifiedBy>
  <cp:revision>3</cp:revision>
  <cp:lastPrinted>2005-01-24T10:29:00Z</cp:lastPrinted>
  <dcterms:created xsi:type="dcterms:W3CDTF">2026-03-03T12:53:00Z</dcterms:created>
  <dcterms:modified xsi:type="dcterms:W3CDTF">2026-03-03T12:53:00Z</dcterms:modified>
</cp:coreProperties>
</file>